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448D" w14:textId="77777777" w:rsidR="00A80914" w:rsidRDefault="00A80914">
      <w:pPr>
        <w:pStyle w:val="NormaleWeb"/>
        <w:spacing w:before="0" w:after="0"/>
        <w:jc w:val="both"/>
        <w:rPr>
          <w:rFonts w:ascii="Verdana" w:eastAsia="Verdana" w:hAnsi="Verdana" w:cs="Verdana"/>
          <w:b/>
          <w:bCs/>
          <w:iCs/>
          <w:color w:val="000000"/>
          <w:kern w:val="0"/>
          <w:sz w:val="22"/>
          <w:szCs w:val="22"/>
          <w:lang w:eastAsia="it-IT" w:bidi="ar-SA"/>
        </w:rPr>
      </w:pPr>
    </w:p>
    <w:p w14:paraId="1009DBDA" w14:textId="77777777" w:rsidR="0089444C" w:rsidRPr="0089444C" w:rsidRDefault="0089444C" w:rsidP="00987CE4">
      <w:pPr>
        <w:ind w:right="-285" w:hanging="284"/>
        <w:jc w:val="center"/>
        <w:rPr>
          <w:rFonts w:ascii="Verdana" w:hAnsi="Verdana" w:cs="Arial"/>
          <w:b/>
          <w:bCs/>
          <w:sz w:val="28"/>
          <w:szCs w:val="28"/>
        </w:rPr>
      </w:pPr>
      <w:r w:rsidRPr="0089444C">
        <w:rPr>
          <w:rFonts w:ascii="Verdana" w:hAnsi="Verdana" w:cs="Arial"/>
          <w:b/>
          <w:bCs/>
          <w:sz w:val="28"/>
          <w:szCs w:val="28"/>
        </w:rPr>
        <w:t>Tessuto imprenditoriale in recupero nel 2021,</w:t>
      </w:r>
    </w:p>
    <w:p w14:paraId="59C73896" w14:textId="6543FABE" w:rsidR="00987CE4" w:rsidRPr="00987CE4" w:rsidRDefault="0089444C" w:rsidP="00987CE4">
      <w:pPr>
        <w:ind w:right="-285" w:hanging="284"/>
        <w:jc w:val="center"/>
        <w:rPr>
          <w:rFonts w:ascii="Verdana" w:hAnsi="Verdana" w:cs="Arial"/>
          <w:b/>
          <w:bCs/>
          <w:sz w:val="22"/>
          <w:szCs w:val="22"/>
        </w:rPr>
      </w:pPr>
      <w:r w:rsidRPr="0089444C">
        <w:rPr>
          <w:rFonts w:ascii="Verdana" w:hAnsi="Verdana" w:cs="Arial"/>
          <w:b/>
          <w:bCs/>
          <w:sz w:val="28"/>
          <w:szCs w:val="28"/>
        </w:rPr>
        <w:t xml:space="preserve">ma ancora al disotto dei livelli </w:t>
      </w:r>
      <w:proofErr w:type="spellStart"/>
      <w:r w:rsidRPr="0089444C">
        <w:rPr>
          <w:rFonts w:ascii="Verdana" w:hAnsi="Verdana" w:cs="Arial"/>
          <w:b/>
          <w:bCs/>
          <w:sz w:val="28"/>
          <w:szCs w:val="28"/>
        </w:rPr>
        <w:t>pre</w:t>
      </w:r>
      <w:proofErr w:type="spellEnd"/>
      <w:r w:rsidRPr="0089444C">
        <w:rPr>
          <w:rFonts w:ascii="Verdana" w:hAnsi="Verdana" w:cs="Arial"/>
          <w:b/>
          <w:bCs/>
          <w:sz w:val="28"/>
          <w:szCs w:val="28"/>
        </w:rPr>
        <w:t>-pandemia</w:t>
      </w:r>
    </w:p>
    <w:p w14:paraId="4AD2B6AC" w14:textId="77777777" w:rsidR="00987CE4" w:rsidRPr="00987CE4" w:rsidRDefault="00987CE4" w:rsidP="00987CE4">
      <w:pPr>
        <w:ind w:right="-285" w:hanging="284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32D5B0D5" w14:textId="563A6B2D" w:rsidR="00472D66" w:rsidRPr="00987CE4" w:rsidRDefault="00472D66" w:rsidP="0089444C">
      <w:pPr>
        <w:ind w:right="-285"/>
        <w:rPr>
          <w:rFonts w:ascii="Verdana" w:hAnsi="Verdana" w:cs="Arial"/>
          <w:sz w:val="22"/>
          <w:szCs w:val="22"/>
        </w:rPr>
      </w:pPr>
    </w:p>
    <w:p w14:paraId="15F792B7" w14:textId="5D0FD67D" w:rsidR="00A80914" w:rsidRPr="00661592" w:rsidRDefault="00A80914" w:rsidP="00661592">
      <w:pPr>
        <w:spacing w:before="240"/>
        <w:rPr>
          <w:rFonts w:ascii="Verdana" w:hAnsi="Verdana" w:cs="Arial"/>
          <w:sz w:val="22"/>
          <w:szCs w:val="22"/>
        </w:rPr>
      </w:pPr>
    </w:p>
    <w:p w14:paraId="4B980163" w14:textId="3B1017DB" w:rsidR="0089444C" w:rsidRPr="0089444C" w:rsidRDefault="00CC3158" w:rsidP="0089444C">
      <w:pPr>
        <w:jc w:val="both"/>
        <w:rPr>
          <w:rFonts w:ascii="Verdana" w:hAnsi="Verdana" w:cs="Calibri"/>
          <w:sz w:val="22"/>
          <w:szCs w:val="22"/>
        </w:rPr>
      </w:pPr>
      <w:r w:rsidRPr="00472D66">
        <w:rPr>
          <w:rFonts w:ascii="Verdana" w:hAnsi="Verdana" w:cs="Arial"/>
          <w:i/>
          <w:sz w:val="22"/>
          <w:szCs w:val="22"/>
        </w:rPr>
        <w:t xml:space="preserve">Lucca, </w:t>
      </w:r>
      <w:r w:rsidR="00472D66" w:rsidRPr="00472D66">
        <w:rPr>
          <w:rFonts w:ascii="Verdana" w:hAnsi="Verdana" w:cs="Arial"/>
          <w:i/>
          <w:sz w:val="22"/>
          <w:szCs w:val="22"/>
        </w:rPr>
        <w:t>1</w:t>
      </w:r>
      <w:r w:rsidR="00987CE4">
        <w:rPr>
          <w:rFonts w:ascii="Verdana" w:hAnsi="Verdana" w:cs="Arial"/>
          <w:i/>
          <w:sz w:val="22"/>
          <w:szCs w:val="22"/>
        </w:rPr>
        <w:t>4</w:t>
      </w:r>
      <w:r w:rsidR="00A85CBD">
        <w:rPr>
          <w:rFonts w:ascii="Verdana" w:hAnsi="Verdana" w:cs="Arial"/>
          <w:i/>
          <w:sz w:val="22"/>
          <w:szCs w:val="22"/>
        </w:rPr>
        <w:t xml:space="preserve"> gennaio</w:t>
      </w:r>
      <w:r w:rsidRPr="00472D66">
        <w:rPr>
          <w:rFonts w:ascii="Verdana" w:hAnsi="Verdana" w:cs="Arial"/>
          <w:i/>
          <w:sz w:val="22"/>
          <w:szCs w:val="22"/>
        </w:rPr>
        <w:t xml:space="preserve"> 202</w:t>
      </w:r>
      <w:r w:rsidR="00A85CBD">
        <w:rPr>
          <w:rFonts w:ascii="Verdana" w:hAnsi="Verdana" w:cs="Arial"/>
          <w:i/>
          <w:sz w:val="22"/>
          <w:szCs w:val="22"/>
        </w:rPr>
        <w:t>2</w:t>
      </w:r>
      <w:r w:rsidRPr="00472D66">
        <w:rPr>
          <w:rFonts w:ascii="Verdana" w:hAnsi="Verdana" w:cs="Arial"/>
          <w:i/>
          <w:sz w:val="22"/>
          <w:szCs w:val="22"/>
        </w:rPr>
        <w:t xml:space="preserve"> </w:t>
      </w:r>
      <w:r w:rsidRPr="00A85CBD">
        <w:rPr>
          <w:rFonts w:ascii="Verdana" w:hAnsi="Verdana" w:cs="Arial"/>
          <w:i/>
          <w:sz w:val="22"/>
          <w:szCs w:val="22"/>
        </w:rPr>
        <w:t>–</w:t>
      </w:r>
      <w:r w:rsidR="0089444C" w:rsidRPr="0089444C">
        <w:rPr>
          <w:rFonts w:ascii="Verdana" w:hAnsi="Verdana" w:cs="Arial"/>
          <w:iCs/>
          <w:sz w:val="22"/>
          <w:szCs w:val="22"/>
        </w:rPr>
        <w:t xml:space="preserve"> </w:t>
      </w:r>
      <w:r w:rsidR="0089444C">
        <w:rPr>
          <w:rFonts w:ascii="Verdana" w:hAnsi="Verdana" w:cs="Arial"/>
          <w:iCs/>
          <w:sz w:val="22"/>
          <w:szCs w:val="22"/>
        </w:rPr>
        <w:t xml:space="preserve">Registrata una </w:t>
      </w:r>
      <w:r w:rsidR="005D3DCB">
        <w:rPr>
          <w:rFonts w:ascii="Verdana" w:hAnsi="Verdana" w:cs="Calibri"/>
          <w:sz w:val="22"/>
          <w:szCs w:val="22"/>
        </w:rPr>
        <w:t>ri</w:t>
      </w:r>
      <w:r w:rsidR="0089444C" w:rsidRPr="0089444C">
        <w:rPr>
          <w:rFonts w:ascii="Verdana" w:hAnsi="Verdana" w:cs="Calibri"/>
          <w:sz w:val="22"/>
          <w:szCs w:val="22"/>
        </w:rPr>
        <w:t xml:space="preserve">presa, </w:t>
      </w:r>
      <w:r w:rsidR="0089444C">
        <w:rPr>
          <w:rFonts w:ascii="Verdana" w:hAnsi="Verdana" w:cs="Calibri"/>
          <w:sz w:val="22"/>
          <w:szCs w:val="22"/>
        </w:rPr>
        <w:t>n</w:t>
      </w:r>
      <w:r w:rsidR="0089444C" w:rsidRPr="0089444C">
        <w:rPr>
          <w:rFonts w:ascii="Verdana" w:hAnsi="Verdana" w:cs="Calibri"/>
          <w:sz w:val="22"/>
          <w:szCs w:val="22"/>
        </w:rPr>
        <w:t xml:space="preserve">el corso del 2021 </w:t>
      </w:r>
      <w:r w:rsidR="0089444C">
        <w:rPr>
          <w:rFonts w:ascii="Verdana" w:hAnsi="Verdana" w:cs="Calibri"/>
          <w:sz w:val="22"/>
          <w:szCs w:val="22"/>
        </w:rPr>
        <w:t>da parte de</w:t>
      </w:r>
      <w:r w:rsidR="0089444C" w:rsidRPr="0089444C">
        <w:rPr>
          <w:rFonts w:ascii="Verdana" w:hAnsi="Verdana" w:cs="Calibri"/>
          <w:sz w:val="22"/>
          <w:szCs w:val="22"/>
        </w:rPr>
        <w:t>l tessuto imprenditoriale lucchese</w:t>
      </w:r>
      <w:r w:rsidR="0089444C">
        <w:rPr>
          <w:rFonts w:ascii="Verdana" w:hAnsi="Verdana" w:cs="Calibri"/>
          <w:sz w:val="22"/>
          <w:szCs w:val="22"/>
        </w:rPr>
        <w:t xml:space="preserve">, </w:t>
      </w:r>
      <w:r w:rsidR="0089444C" w:rsidRPr="0089444C">
        <w:rPr>
          <w:rFonts w:ascii="Verdana" w:hAnsi="Verdana" w:cs="Calibri"/>
          <w:sz w:val="22"/>
          <w:szCs w:val="22"/>
        </w:rPr>
        <w:t xml:space="preserve">un recupero ancora parziale </w:t>
      </w:r>
      <w:r w:rsidR="0089444C">
        <w:rPr>
          <w:rFonts w:ascii="Verdana" w:hAnsi="Verdana" w:cs="Calibri"/>
          <w:sz w:val="22"/>
          <w:szCs w:val="22"/>
        </w:rPr>
        <w:t>rispetto a</w:t>
      </w:r>
      <w:r w:rsidR="0089444C" w:rsidRPr="0089444C">
        <w:rPr>
          <w:rFonts w:ascii="Verdana" w:hAnsi="Verdana" w:cs="Calibri"/>
          <w:sz w:val="22"/>
          <w:szCs w:val="22"/>
        </w:rPr>
        <w:t>i livelli precedenti la pandemia.</w:t>
      </w:r>
    </w:p>
    <w:p w14:paraId="217A19D8" w14:textId="56B9217B" w:rsidR="0089444C" w:rsidRPr="0089444C" w:rsidRDefault="0089444C" w:rsidP="0089444C">
      <w:pPr>
        <w:jc w:val="both"/>
        <w:rPr>
          <w:rFonts w:ascii="Verdana" w:hAnsi="Verdana" w:cs="Calibri"/>
          <w:sz w:val="22"/>
          <w:szCs w:val="22"/>
        </w:rPr>
      </w:pPr>
      <w:r w:rsidRPr="0089444C">
        <w:rPr>
          <w:rFonts w:ascii="Verdana" w:hAnsi="Verdana" w:cs="Calibri"/>
          <w:sz w:val="22"/>
          <w:szCs w:val="22"/>
        </w:rPr>
        <w:t>L’analisi dei dati del Registro delle Imprese della Camera di Commercio di Lucca evidenzia</w:t>
      </w:r>
      <w:r>
        <w:rPr>
          <w:rFonts w:ascii="Verdana" w:hAnsi="Verdana" w:cs="Calibri"/>
          <w:sz w:val="22"/>
          <w:szCs w:val="22"/>
        </w:rPr>
        <w:t xml:space="preserve">, infatti, </w:t>
      </w:r>
      <w:r w:rsidRPr="0089444C">
        <w:rPr>
          <w:rFonts w:ascii="Verdana" w:hAnsi="Verdana" w:cs="Calibri"/>
          <w:sz w:val="22"/>
          <w:szCs w:val="22"/>
        </w:rPr>
        <w:t xml:space="preserve">come nel corso dell’anno appena trascorso la nascita di nuove attività imprenditoriali abbia ritrovato slancio con </w:t>
      </w:r>
      <w:r w:rsidRPr="0089444C">
        <w:rPr>
          <w:rFonts w:ascii="Verdana" w:hAnsi="Verdana" w:cs="Calibri"/>
          <w:b/>
          <w:bCs/>
          <w:sz w:val="22"/>
          <w:szCs w:val="22"/>
        </w:rPr>
        <w:t>2.218 nuove iscrizioni</w:t>
      </w:r>
      <w:r w:rsidRPr="0089444C">
        <w:rPr>
          <w:rFonts w:ascii="Verdana" w:hAnsi="Verdana" w:cs="Calibri"/>
          <w:sz w:val="22"/>
          <w:szCs w:val="22"/>
        </w:rPr>
        <w:t>, l’8,7% in più rispetto al 2020</w:t>
      </w:r>
      <w:r w:rsidR="00AB73F6">
        <w:rPr>
          <w:rFonts w:ascii="Verdana" w:hAnsi="Verdana" w:cs="Calibri"/>
          <w:sz w:val="22"/>
          <w:szCs w:val="22"/>
        </w:rPr>
        <w:t>,</w:t>
      </w:r>
      <w:r w:rsidRPr="0089444C">
        <w:rPr>
          <w:rFonts w:ascii="Verdana" w:hAnsi="Verdana" w:cs="Calibri"/>
          <w:sz w:val="22"/>
          <w:szCs w:val="22"/>
        </w:rPr>
        <w:t xml:space="preserve"> ma ancora sotto di </w:t>
      </w:r>
      <w:r w:rsidR="00AB73F6" w:rsidRPr="0089444C">
        <w:rPr>
          <w:rFonts w:ascii="Verdana" w:hAnsi="Verdana" w:cs="Calibri"/>
          <w:sz w:val="22"/>
          <w:szCs w:val="22"/>
        </w:rPr>
        <w:t xml:space="preserve">circa </w:t>
      </w:r>
      <w:r w:rsidRPr="0089444C">
        <w:rPr>
          <w:rFonts w:ascii="Verdana" w:hAnsi="Verdana" w:cs="Calibri"/>
          <w:sz w:val="22"/>
          <w:szCs w:val="22"/>
        </w:rPr>
        <w:t xml:space="preserve">200 unità </w:t>
      </w:r>
      <w:r w:rsidR="00AB73F6">
        <w:rPr>
          <w:rFonts w:ascii="Verdana" w:hAnsi="Verdana" w:cs="Calibri"/>
          <w:sz w:val="22"/>
          <w:szCs w:val="22"/>
        </w:rPr>
        <w:t>rispetto a</w:t>
      </w:r>
      <w:r w:rsidRPr="0089444C">
        <w:rPr>
          <w:rFonts w:ascii="Verdana" w:hAnsi="Verdana" w:cs="Calibri"/>
          <w:sz w:val="22"/>
          <w:szCs w:val="22"/>
        </w:rPr>
        <w:t xml:space="preserve">i valori </w:t>
      </w:r>
      <w:proofErr w:type="spellStart"/>
      <w:r w:rsidRPr="0089444C">
        <w:rPr>
          <w:rFonts w:ascii="Verdana" w:hAnsi="Verdana" w:cs="Calibri"/>
          <w:sz w:val="22"/>
          <w:szCs w:val="22"/>
        </w:rPr>
        <w:t>pre</w:t>
      </w:r>
      <w:proofErr w:type="spellEnd"/>
      <w:r w:rsidRPr="0089444C">
        <w:rPr>
          <w:rFonts w:ascii="Verdana" w:hAnsi="Verdana" w:cs="Calibri"/>
          <w:sz w:val="22"/>
          <w:szCs w:val="22"/>
        </w:rPr>
        <w:t>-pandemia.</w:t>
      </w:r>
    </w:p>
    <w:p w14:paraId="643E3601" w14:textId="77777777" w:rsidR="0089444C" w:rsidRPr="0089444C" w:rsidRDefault="0089444C" w:rsidP="0089444C">
      <w:pPr>
        <w:jc w:val="both"/>
        <w:rPr>
          <w:rFonts w:ascii="Verdana" w:hAnsi="Verdana" w:cs="Calibri"/>
          <w:sz w:val="22"/>
          <w:szCs w:val="22"/>
        </w:rPr>
      </w:pPr>
      <w:r w:rsidRPr="0089444C">
        <w:rPr>
          <w:rFonts w:ascii="Verdana" w:hAnsi="Verdana" w:cs="Calibri"/>
          <w:sz w:val="22"/>
          <w:szCs w:val="22"/>
        </w:rPr>
        <w:t xml:space="preserve">Le </w:t>
      </w:r>
      <w:r w:rsidRPr="0089444C">
        <w:rPr>
          <w:rFonts w:ascii="Verdana" w:hAnsi="Verdana" w:cs="Calibri"/>
          <w:b/>
          <w:bCs/>
          <w:sz w:val="22"/>
          <w:szCs w:val="22"/>
        </w:rPr>
        <w:t>cancellazioni</w:t>
      </w:r>
      <w:r w:rsidRPr="0089444C">
        <w:rPr>
          <w:rFonts w:ascii="Verdana" w:hAnsi="Verdana" w:cs="Calibri"/>
          <w:sz w:val="22"/>
          <w:szCs w:val="22"/>
        </w:rPr>
        <w:t xml:space="preserve"> dai registri camerali hanno invece </w:t>
      </w:r>
      <w:r w:rsidRPr="0089444C">
        <w:rPr>
          <w:rFonts w:ascii="Verdana" w:hAnsi="Verdana" w:cs="Calibri"/>
          <w:b/>
          <w:bCs/>
          <w:sz w:val="22"/>
          <w:szCs w:val="22"/>
        </w:rPr>
        <w:t>toccato il minimo storico</w:t>
      </w:r>
      <w:r w:rsidRPr="0089444C">
        <w:rPr>
          <w:rFonts w:ascii="Verdana" w:hAnsi="Verdana" w:cs="Calibri"/>
          <w:sz w:val="22"/>
          <w:szCs w:val="22"/>
        </w:rPr>
        <w:t>, con 1.680 cessazioni nei dodici mesi, come risultato anche delle diverse misure di sostegno all’attività d’impresa e di sospensione delle situazioni di crisi; tale andamento dovrà essere monitorato nel medio periodo.</w:t>
      </w:r>
    </w:p>
    <w:p w14:paraId="41AAA997" w14:textId="77777777" w:rsidR="0089444C" w:rsidRPr="0089444C" w:rsidRDefault="0089444C" w:rsidP="0089444C">
      <w:pPr>
        <w:jc w:val="both"/>
        <w:rPr>
          <w:rFonts w:ascii="Verdana" w:hAnsi="Verdana" w:cs="Calibri"/>
          <w:sz w:val="22"/>
          <w:szCs w:val="22"/>
        </w:rPr>
      </w:pPr>
      <w:r w:rsidRPr="0089444C">
        <w:rPr>
          <w:rFonts w:ascii="Verdana" w:hAnsi="Verdana" w:cs="Calibri"/>
          <w:sz w:val="22"/>
          <w:szCs w:val="22"/>
        </w:rPr>
        <w:t xml:space="preserve">In virtù di tali andamenti, il </w:t>
      </w:r>
      <w:r w:rsidRPr="0089444C">
        <w:rPr>
          <w:rFonts w:ascii="Verdana" w:hAnsi="Verdana" w:cs="Calibri"/>
          <w:b/>
          <w:bCs/>
          <w:sz w:val="22"/>
          <w:szCs w:val="22"/>
        </w:rPr>
        <w:t>tasso di crescita è risultato pari al +1,3%</w:t>
      </w:r>
      <w:r w:rsidRPr="0089444C">
        <w:rPr>
          <w:rFonts w:ascii="Verdana" w:hAnsi="Verdana" w:cs="Calibri"/>
          <w:sz w:val="22"/>
          <w:szCs w:val="22"/>
        </w:rPr>
        <w:t xml:space="preserve">, superiore a quello toscano (+1,0%) e poco al disotto del nazionale (+1,4%). </w:t>
      </w:r>
    </w:p>
    <w:p w14:paraId="4B38EEE8" w14:textId="77777777" w:rsidR="0089444C" w:rsidRPr="0089444C" w:rsidRDefault="0089444C" w:rsidP="0089444C">
      <w:pPr>
        <w:jc w:val="both"/>
        <w:rPr>
          <w:rFonts w:ascii="Verdana" w:hAnsi="Verdana" w:cs="Calibri"/>
          <w:sz w:val="22"/>
          <w:szCs w:val="22"/>
        </w:rPr>
      </w:pPr>
      <w:r w:rsidRPr="0089444C">
        <w:rPr>
          <w:rFonts w:ascii="Verdana" w:hAnsi="Verdana" w:cs="Calibri"/>
          <w:sz w:val="22"/>
          <w:szCs w:val="22"/>
        </w:rPr>
        <w:t>È aumentato anche il numero delle imprese attive in provincia di Lucca, risalite a quota 36.507 (sui livelli del 2017) per 416 unità attive in più (+1,2%) rispetto a fine 2020. Le imprese artigiane hanno contenuto il calo in “sole” 57 imprese (-0,5%), portandosi a quota 11.011 unità attive a fine anno, con l’incidenza del comparto artigiano sul tessuto imprenditoriale operativo scesa al 30,2%.</w:t>
      </w:r>
    </w:p>
    <w:p w14:paraId="62320715" w14:textId="77777777" w:rsidR="0089444C" w:rsidRPr="0089444C" w:rsidRDefault="0089444C" w:rsidP="0089444C">
      <w:pPr>
        <w:jc w:val="both"/>
        <w:rPr>
          <w:rFonts w:ascii="Verdana" w:hAnsi="Verdana" w:cs="Calibri"/>
          <w:sz w:val="22"/>
          <w:szCs w:val="22"/>
        </w:rPr>
      </w:pPr>
    </w:p>
    <w:p w14:paraId="34469170" w14:textId="77777777" w:rsidR="0089444C" w:rsidRPr="0089444C" w:rsidRDefault="0089444C" w:rsidP="0089444C">
      <w:pPr>
        <w:jc w:val="both"/>
        <w:rPr>
          <w:rFonts w:ascii="Verdana" w:hAnsi="Verdana" w:cs="Calibri"/>
          <w:sz w:val="22"/>
          <w:szCs w:val="22"/>
        </w:rPr>
      </w:pPr>
      <w:r w:rsidRPr="0089444C">
        <w:rPr>
          <w:rFonts w:ascii="Verdana" w:hAnsi="Verdana" w:cs="Calibri"/>
          <w:sz w:val="22"/>
          <w:szCs w:val="22"/>
        </w:rPr>
        <w:t xml:space="preserve">“Malgrado il perdurare della pandemia, la voglia di fare impresa in provincia di Lucca resta immutata, e la crescita rilevata nell’anno è il segnale della volontà degli imprenditori di ripartire -ha commentato </w:t>
      </w:r>
      <w:r w:rsidRPr="0089444C">
        <w:rPr>
          <w:rFonts w:ascii="Verdana" w:hAnsi="Verdana" w:cs="Calibri"/>
          <w:b/>
          <w:bCs/>
          <w:sz w:val="22"/>
          <w:szCs w:val="22"/>
        </w:rPr>
        <w:t>Giorgio Bartoli</w:t>
      </w:r>
      <w:r w:rsidRPr="0089444C">
        <w:rPr>
          <w:rFonts w:ascii="Verdana" w:hAnsi="Verdana" w:cs="Calibri"/>
          <w:sz w:val="22"/>
          <w:szCs w:val="22"/>
        </w:rPr>
        <w:t>, Commissario Straordinario della Camera di Commercio di Lucca-. La Camera di commercio non farà mancare il proprio contributo per aiutare gli imprenditori a crescere e aumentare la propria competitività”.</w:t>
      </w:r>
    </w:p>
    <w:p w14:paraId="1246433E" w14:textId="77777777" w:rsidR="0089444C" w:rsidRPr="0089444C" w:rsidRDefault="0089444C" w:rsidP="0089444C">
      <w:pPr>
        <w:jc w:val="both"/>
        <w:rPr>
          <w:rFonts w:ascii="Verdana" w:hAnsi="Verdana" w:cs="Calibri"/>
          <w:sz w:val="22"/>
          <w:szCs w:val="22"/>
        </w:rPr>
      </w:pPr>
    </w:p>
    <w:p w14:paraId="2C8E54ED" w14:textId="77777777" w:rsidR="0089444C" w:rsidRPr="0089444C" w:rsidRDefault="0089444C" w:rsidP="0089444C">
      <w:pPr>
        <w:jc w:val="both"/>
        <w:rPr>
          <w:rFonts w:ascii="Verdana" w:hAnsi="Verdana" w:cs="Calibri"/>
          <w:sz w:val="22"/>
          <w:szCs w:val="22"/>
        </w:rPr>
      </w:pPr>
      <w:r w:rsidRPr="0089444C">
        <w:rPr>
          <w:rFonts w:ascii="Verdana" w:hAnsi="Verdana" w:cs="Calibri"/>
          <w:sz w:val="22"/>
          <w:szCs w:val="22"/>
        </w:rPr>
        <w:t>È proseguita la crescita delle società di capitale (8.909 imprese attive a fine dicembre; +382 unità nell’anno), mentre le società di persone hanno rilevato un’ulteriore contrazione (6.419 imprese; -39 unità); in lieve aumento anche le imprese individuali (20.319; +66) e le altre forme (cooperative, consorzi, etc.) salite a 860 unità (+7).</w:t>
      </w:r>
    </w:p>
    <w:p w14:paraId="6B5CD2CD" w14:textId="77777777" w:rsidR="0089444C" w:rsidRPr="0089444C" w:rsidRDefault="0089444C" w:rsidP="0089444C">
      <w:pPr>
        <w:jc w:val="both"/>
        <w:rPr>
          <w:rFonts w:ascii="Verdana" w:hAnsi="Verdana" w:cs="Calibri"/>
          <w:sz w:val="22"/>
          <w:szCs w:val="22"/>
        </w:rPr>
      </w:pPr>
      <w:r w:rsidRPr="0089444C">
        <w:rPr>
          <w:rFonts w:ascii="Verdana" w:hAnsi="Verdana" w:cs="Calibri"/>
          <w:sz w:val="22"/>
          <w:szCs w:val="22"/>
        </w:rPr>
        <w:t>L’andamento settoriale evidenzia come nel corso del 2021 il recupero del tessuto imprenditoriale abbia interessato tutti i macro-comparti di attività. Le imprese operanti nei servizi (+320 unità; +1,4%) e nelle costruzioni (+64; +1,0%) hanno fatto segnare i maggiori incrementi, grazie alla ripresa delle attività in precedenza maggiormente interessate dai lockdown e agli incentivi legati all’ecobonus, seguite dall’agricoltura (+14 imprese; +0,6%) e dal settore industriale (+9; +0,2%).</w:t>
      </w:r>
    </w:p>
    <w:p w14:paraId="630FDFFB" w14:textId="77777777" w:rsidR="0089444C" w:rsidRPr="0089444C" w:rsidRDefault="0089444C" w:rsidP="0089444C">
      <w:pPr>
        <w:jc w:val="both"/>
        <w:rPr>
          <w:rFonts w:ascii="Verdana" w:hAnsi="Verdana" w:cs="Calibri"/>
          <w:sz w:val="22"/>
          <w:szCs w:val="22"/>
        </w:rPr>
      </w:pPr>
      <w:r w:rsidRPr="0089444C">
        <w:rPr>
          <w:rFonts w:ascii="Verdana" w:hAnsi="Verdana" w:cs="Calibri"/>
          <w:sz w:val="22"/>
          <w:szCs w:val="22"/>
        </w:rPr>
        <w:t xml:space="preserve">All’interno dei servizi, il commercio e la riparazione di autoveicoli e motocicli ha recuperato 64 attività (+0,7%) portandosi a quota 9.292 imprese attive a fine dicembre grazie alla crescita degli intermediari del commercio, mentre le attività di alloggio e ristorazione (3.543 unità) sono salite di 50 imprese (+1,4%) per l’incremento delle attività di ristorazione. In aumento anche il complesso delle attività immobiliari (+3,7%), le attività professionali, scientifiche e tecniche (+4,4%), il noleggio, agenzie di viaggio e servizi di supporto alle imprese (+1,2%), le attività artistiche, sportive, di intrattenimento e </w:t>
      </w:r>
      <w:r w:rsidRPr="0089444C">
        <w:rPr>
          <w:rFonts w:ascii="Verdana" w:hAnsi="Verdana" w:cs="Calibri"/>
          <w:sz w:val="22"/>
          <w:szCs w:val="22"/>
        </w:rPr>
        <w:lastRenderedPageBreak/>
        <w:t>divertimento (+2,5%), i servizi di informazione e comunicazione (+4,7%), l’istruzione (+4,4%) e la sanità e assistenza sociale (+4,7%).</w:t>
      </w:r>
    </w:p>
    <w:p w14:paraId="73109465" w14:textId="77777777" w:rsidR="0089444C" w:rsidRPr="0089444C" w:rsidRDefault="0089444C" w:rsidP="0089444C">
      <w:pPr>
        <w:jc w:val="both"/>
        <w:rPr>
          <w:rFonts w:ascii="Verdana" w:hAnsi="Verdana" w:cs="Calibri"/>
          <w:sz w:val="22"/>
          <w:szCs w:val="22"/>
        </w:rPr>
      </w:pPr>
      <w:r w:rsidRPr="0089444C">
        <w:rPr>
          <w:rFonts w:ascii="Verdana" w:hAnsi="Verdana" w:cs="Calibri"/>
          <w:sz w:val="22"/>
          <w:szCs w:val="22"/>
        </w:rPr>
        <w:t>Hanno mostrato invece una lieve diminuzione le imprese operanti nelle altre attività dei servizi e nelle attività finanziarie e assicurative (-0,5% per entrambi i settori), e nel trasporto e magazzinaggio (-1,1%).</w:t>
      </w:r>
    </w:p>
    <w:p w14:paraId="5E19DC54" w14:textId="77777777" w:rsidR="0089444C" w:rsidRPr="0089444C" w:rsidRDefault="0089444C" w:rsidP="0089444C">
      <w:pPr>
        <w:jc w:val="both"/>
        <w:rPr>
          <w:rFonts w:ascii="Verdana" w:hAnsi="Verdana" w:cs="Calibri"/>
          <w:sz w:val="22"/>
          <w:szCs w:val="22"/>
        </w:rPr>
      </w:pPr>
      <w:r w:rsidRPr="0089444C">
        <w:rPr>
          <w:rFonts w:ascii="Verdana" w:hAnsi="Verdana" w:cs="Calibri"/>
          <w:sz w:val="22"/>
          <w:szCs w:val="22"/>
        </w:rPr>
        <w:t>In aumento anche le imprese femminili (+1,3%) e quelle a guida straniera (+3,1%).</w:t>
      </w:r>
    </w:p>
    <w:p w14:paraId="6AA5A380" w14:textId="21266340" w:rsidR="00F66351" w:rsidRPr="00A85CBD" w:rsidRDefault="0089444C" w:rsidP="0089444C">
      <w:pPr>
        <w:jc w:val="both"/>
        <w:rPr>
          <w:rFonts w:ascii="Verdana" w:hAnsi="Verdana" w:cstheme="majorHAnsi"/>
          <w:sz w:val="22"/>
          <w:szCs w:val="22"/>
        </w:rPr>
      </w:pPr>
      <w:r w:rsidRPr="0089444C">
        <w:rPr>
          <w:rFonts w:ascii="Verdana" w:hAnsi="Verdana" w:cs="Calibri"/>
          <w:sz w:val="22"/>
          <w:szCs w:val="22"/>
        </w:rPr>
        <w:t>Il tessuto imprenditoriale è risultato più dinamico in Versilia, dove la crescita ha toccato il +1,5% (+238 imprese), e nella Piana di Lucca (+1,1%; +174 unità); l’area della Valle del Serchio (Media Valle e Garfagnana) ha comunque tenuto (+0,1%; +4 imprese).</w:t>
      </w:r>
    </w:p>
    <w:p w14:paraId="09FE1526" w14:textId="58978ECB" w:rsidR="00472D66" w:rsidRDefault="00472D66">
      <w:pPr>
        <w:jc w:val="both"/>
      </w:pPr>
    </w:p>
    <w:p w14:paraId="494DE819" w14:textId="4CCDE591" w:rsidR="00F66351" w:rsidRDefault="00F66351">
      <w:pPr>
        <w:jc w:val="both"/>
      </w:pPr>
    </w:p>
    <w:p w14:paraId="11ECC764" w14:textId="43AA0764" w:rsidR="00F66351" w:rsidRDefault="00F66351">
      <w:pPr>
        <w:jc w:val="both"/>
      </w:pPr>
    </w:p>
    <w:p w14:paraId="6CEA6CC7" w14:textId="785C0C3F" w:rsidR="00F66351" w:rsidRDefault="00F66351">
      <w:pPr>
        <w:jc w:val="both"/>
      </w:pPr>
    </w:p>
    <w:p w14:paraId="7E4EB3C3" w14:textId="77777777" w:rsidR="00F66351" w:rsidRDefault="00F66351">
      <w:pPr>
        <w:jc w:val="both"/>
      </w:pPr>
    </w:p>
    <w:p w14:paraId="473C2D60" w14:textId="77777777" w:rsidR="00472D66" w:rsidRDefault="00472D66">
      <w:pPr>
        <w:jc w:val="both"/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A80914" w14:paraId="75F33298" w14:textId="77777777">
        <w:trPr>
          <w:trHeight w:val="680"/>
        </w:trPr>
        <w:tc>
          <w:tcPr>
            <w:tcW w:w="6012" w:type="dxa"/>
            <w:shd w:val="clear" w:color="auto" w:fill="FFFFFF"/>
          </w:tcPr>
          <w:p w14:paraId="71379368" w14:textId="77777777" w:rsidR="00A80914" w:rsidRDefault="00CC3158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C1EEFCB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49E2380E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</w:t>
            </w:r>
            <w: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329 3606494 </w:t>
            </w:r>
          </w:p>
        </w:tc>
        <w:tc>
          <w:tcPr>
            <w:tcW w:w="3567" w:type="dxa"/>
            <w:shd w:val="clear" w:color="auto" w:fill="FFFFFF"/>
          </w:tcPr>
          <w:p w14:paraId="068D4DED" w14:textId="77777777" w:rsidR="00A80914" w:rsidRDefault="00AB73F6">
            <w:pPr>
              <w:jc w:val="right"/>
            </w:pPr>
            <w:hyperlink r:id="rId6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3ABC626A" wp14:editId="68185BD1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8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09873C91" wp14:editId="242B3FC6">
                    <wp:extent cx="225425" cy="225425"/>
                    <wp:effectExtent l="0" t="0" r="0" b="0"/>
                    <wp:docPr id="2" name="Immagin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0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2A3A5224" wp14:editId="1A6E064C">
                    <wp:extent cx="229235" cy="228600"/>
                    <wp:effectExtent l="0" t="0" r="0" b="0"/>
                    <wp:docPr id="3" name="Immagine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magin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DE8E596" w14:textId="77777777" w:rsidR="00A80914" w:rsidRDefault="00A80914" w:rsidP="00661592"/>
    <w:sectPr w:rsidR="00A80914" w:rsidSect="00472D66">
      <w:headerReference w:type="default" r:id="rId12"/>
      <w:footerReference w:type="default" r:id="rId13"/>
      <w:pgSz w:w="11906" w:h="16838"/>
      <w:pgMar w:top="1985" w:right="1134" w:bottom="1135" w:left="851" w:header="426" w:footer="7" w:gutter="0"/>
      <w:pgNumType w:start="1"/>
      <w:cols w:space="720"/>
      <w:formProt w:val="0"/>
      <w:docGrid w:linePitch="28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817" w14:textId="77777777" w:rsidR="00CC3158" w:rsidRDefault="00CC3158">
      <w:r>
        <w:separator/>
      </w:r>
    </w:p>
  </w:endnote>
  <w:endnote w:type="continuationSeparator" w:id="0">
    <w:p w14:paraId="20F0671C" w14:textId="77777777" w:rsidR="00CC3158" w:rsidRDefault="00C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C09" w14:textId="77777777" w:rsidR="00A80914" w:rsidRDefault="00A80914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0A105093" w14:textId="77777777" w:rsidR="00A80914" w:rsidRDefault="00CC3158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2EEFDFEF" w14:textId="77777777" w:rsidR="00A80914" w:rsidRDefault="00CC3158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436EA712" w14:textId="77777777" w:rsidR="00A80914" w:rsidRDefault="00A80914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DBD9" w14:textId="77777777" w:rsidR="00CC3158" w:rsidRDefault="00CC3158">
      <w:r>
        <w:separator/>
      </w:r>
    </w:p>
  </w:footnote>
  <w:footnote w:type="continuationSeparator" w:id="0">
    <w:p w14:paraId="562DC1C4" w14:textId="77777777" w:rsidR="00CC3158" w:rsidRDefault="00CC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F95" w14:textId="77777777" w:rsidR="00A80914" w:rsidRDefault="00CC3158">
    <w:pPr>
      <w:pStyle w:val="Intestazione"/>
      <w:rPr>
        <w:rFonts w:ascii="Verdana" w:hAnsi="Verdana" w:cs="Verdana"/>
        <w:b/>
        <w:color w:val="808080"/>
        <w:spacing w:val="20"/>
        <w:kern w:val="2"/>
        <w:sz w:val="36"/>
        <w:lang w:val="pt-PT"/>
      </w:rPr>
    </w:pPr>
    <w:r>
      <w:rPr>
        <w:noProof/>
      </w:rPr>
      <w:drawing>
        <wp:inline distT="0" distB="0" distL="0" distR="0" wp14:anchorId="17E5DE14" wp14:editId="68857403">
          <wp:extent cx="1962150" cy="533400"/>
          <wp:effectExtent l="0" t="0" r="0" b="0"/>
          <wp:docPr id="6" name="Immagine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FE95E" w14:textId="77777777" w:rsidR="00A80914" w:rsidRDefault="00CC3158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14"/>
    <w:rsid w:val="000859BD"/>
    <w:rsid w:val="000863F3"/>
    <w:rsid w:val="000C051F"/>
    <w:rsid w:val="00472D66"/>
    <w:rsid w:val="005D3DCB"/>
    <w:rsid w:val="00661592"/>
    <w:rsid w:val="0089444C"/>
    <w:rsid w:val="00941C7C"/>
    <w:rsid w:val="00987CE4"/>
    <w:rsid w:val="00A80914"/>
    <w:rsid w:val="00A85CBD"/>
    <w:rsid w:val="00AB73F6"/>
    <w:rsid w:val="00CC3158"/>
    <w:rsid w:val="00D0639F"/>
    <w:rsid w:val="00E472FC"/>
    <w:rsid w:val="00F43DE9"/>
    <w:rsid w:val="00F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042"/>
  <w15:docId w15:val="{BAC2911E-E0FE-4367-AED0-CE12C096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sid w:val="00AA3CA1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AA3CA1"/>
    <w:rPr>
      <w:color w:val="00000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customStyle="1" w:styleId="Enfasiforte">
    <w:name w:val="Enfasi forte"/>
    <w:qFormat/>
    <w:rsid w:val="007A7743"/>
    <w:rPr>
      <w:b/>
      <w:b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unhideWhenUsed/>
    <w:rsid w:val="00AA3CA1"/>
    <w:pPr>
      <w:suppressAutoHyphens w:val="0"/>
    </w:pPr>
    <w:rPr>
      <w:color w:val="auto"/>
    </w:rPr>
  </w:style>
  <w:style w:type="paragraph" w:styleId="NormaleWeb">
    <w:name w:val="Normal (Web)"/>
    <w:basedOn w:val="Normale"/>
    <w:qFormat/>
    <w:rsid w:val="007A7743"/>
    <w:pPr>
      <w:spacing w:before="280" w:after="280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uiPriority w:val="99"/>
    <w:semiHidden/>
    <w:rsid w:val="00F6635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87C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.camcom.i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.camcom.it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ameraCommercioLucc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Segreteria Generale</cp:lastModifiedBy>
  <cp:revision>5</cp:revision>
  <cp:lastPrinted>2021-12-15T09:36:00Z</cp:lastPrinted>
  <dcterms:created xsi:type="dcterms:W3CDTF">2022-01-24T14:08:00Z</dcterms:created>
  <dcterms:modified xsi:type="dcterms:W3CDTF">2022-01-25T11:17:00Z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