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59C73896" w14:textId="0AA21C99" w:rsidR="00987CE4" w:rsidRDefault="00305238" w:rsidP="00305238">
      <w:pPr>
        <w:ind w:right="-2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Buy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wine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2022 – Tour di buyer internazionali a Lucca nel segno di </w:t>
      </w:r>
      <w:r w:rsidR="00AC4481">
        <w:rPr>
          <w:rFonts w:ascii="Verdana" w:hAnsi="Verdana" w:cs="Arial"/>
          <w:b/>
          <w:bCs/>
          <w:sz w:val="28"/>
          <w:szCs w:val="28"/>
        </w:rPr>
        <w:t xml:space="preserve">The </w:t>
      </w:r>
      <w:proofErr w:type="spellStart"/>
      <w:r w:rsidR="00AC4481">
        <w:rPr>
          <w:rFonts w:ascii="Verdana" w:hAnsi="Verdana" w:cs="Arial"/>
          <w:b/>
          <w:bCs/>
          <w:sz w:val="28"/>
          <w:szCs w:val="28"/>
        </w:rPr>
        <w:t>lands</w:t>
      </w:r>
      <w:proofErr w:type="spellEnd"/>
      <w:r w:rsidR="00AC4481">
        <w:rPr>
          <w:rFonts w:ascii="Verdana" w:hAnsi="Verdana" w:cs="Arial"/>
          <w:b/>
          <w:bCs/>
          <w:sz w:val="28"/>
          <w:szCs w:val="28"/>
        </w:rPr>
        <w:t xml:space="preserve"> of Giacomo Puccini</w:t>
      </w:r>
    </w:p>
    <w:p w14:paraId="4AD2B6AC" w14:textId="77777777" w:rsidR="00987CE4" w:rsidRPr="00987CE4" w:rsidRDefault="00987CE4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0D1E580" w14:textId="77777777" w:rsidR="008D07BD" w:rsidRDefault="008D07BD" w:rsidP="008D07BD">
      <w:pPr>
        <w:spacing w:before="240"/>
        <w:jc w:val="both"/>
        <w:rPr>
          <w:rFonts w:ascii="Verdana" w:hAnsi="Verdana" w:cs="Arial"/>
          <w:sz w:val="22"/>
          <w:szCs w:val="22"/>
        </w:rPr>
      </w:pPr>
      <w:r w:rsidRPr="008D07BD">
        <w:rPr>
          <w:rFonts w:ascii="Verdana" w:hAnsi="Verdana" w:cs="Arial"/>
          <w:i/>
          <w:iCs/>
          <w:sz w:val="22"/>
          <w:szCs w:val="22"/>
        </w:rPr>
        <w:t>Lucca, 14 febbraio 2022</w:t>
      </w:r>
      <w:r>
        <w:rPr>
          <w:rFonts w:ascii="Verdana" w:hAnsi="Verdana" w:cs="Arial"/>
          <w:sz w:val="22"/>
          <w:szCs w:val="22"/>
        </w:rPr>
        <w:t xml:space="preserve"> - </w:t>
      </w:r>
      <w:proofErr w:type="gramStart"/>
      <w:r w:rsidRPr="008D07BD">
        <w:rPr>
          <w:rFonts w:ascii="Verdana" w:hAnsi="Verdana" w:cs="Arial"/>
          <w:sz w:val="22"/>
          <w:szCs w:val="22"/>
        </w:rPr>
        <w:t>Domenica</w:t>
      </w:r>
      <w:proofErr w:type="gramEnd"/>
      <w:r w:rsidRPr="008D07BD">
        <w:rPr>
          <w:rFonts w:ascii="Verdana" w:hAnsi="Verdana" w:cs="Arial"/>
          <w:sz w:val="22"/>
          <w:szCs w:val="22"/>
        </w:rPr>
        <w:t xml:space="preserve"> 13 febbraio, una delegazione di 15 buyer internazionali del settore vitivinicolo </w:t>
      </w:r>
      <w:r>
        <w:rPr>
          <w:rFonts w:ascii="Verdana" w:hAnsi="Verdana" w:cs="Arial"/>
          <w:sz w:val="22"/>
          <w:szCs w:val="22"/>
        </w:rPr>
        <w:t>è stata</w:t>
      </w:r>
      <w:r w:rsidRPr="008D07BD">
        <w:rPr>
          <w:rFonts w:ascii="Verdana" w:hAnsi="Verdana" w:cs="Arial"/>
          <w:sz w:val="22"/>
          <w:szCs w:val="22"/>
        </w:rPr>
        <w:t xml:space="preserve"> ospite di Lucca </w:t>
      </w:r>
      <w:proofErr w:type="spellStart"/>
      <w:r w:rsidRPr="008D07BD">
        <w:rPr>
          <w:rFonts w:ascii="Verdana" w:hAnsi="Verdana" w:cs="Arial"/>
          <w:sz w:val="22"/>
          <w:szCs w:val="22"/>
        </w:rPr>
        <w:t>Promos</w:t>
      </w:r>
      <w:proofErr w:type="spellEnd"/>
      <w:r w:rsidRPr="008D07BD">
        <w:rPr>
          <w:rFonts w:ascii="Verdana" w:hAnsi="Verdana" w:cs="Arial"/>
          <w:sz w:val="22"/>
          <w:szCs w:val="22"/>
        </w:rPr>
        <w:t xml:space="preserve"> in occasione dell'edizione 2022 di </w:t>
      </w:r>
      <w:proofErr w:type="spellStart"/>
      <w:r w:rsidRPr="008D07BD">
        <w:rPr>
          <w:rFonts w:ascii="Verdana" w:hAnsi="Verdana" w:cs="Arial"/>
          <w:sz w:val="22"/>
          <w:szCs w:val="22"/>
        </w:rPr>
        <w:t>BuyWine</w:t>
      </w:r>
      <w:proofErr w:type="spellEnd"/>
      <w:r w:rsidRPr="008D07BD">
        <w:rPr>
          <w:rFonts w:ascii="Verdana" w:hAnsi="Verdana" w:cs="Arial"/>
          <w:sz w:val="22"/>
          <w:szCs w:val="22"/>
        </w:rPr>
        <w:t xml:space="preserve">, il più importante evento dedicato ai vini made in </w:t>
      </w:r>
      <w:proofErr w:type="spellStart"/>
      <w:r w:rsidRPr="008D07BD">
        <w:rPr>
          <w:rFonts w:ascii="Verdana" w:hAnsi="Verdana" w:cs="Arial"/>
          <w:sz w:val="22"/>
          <w:szCs w:val="22"/>
        </w:rPr>
        <w:t>Tuscany</w:t>
      </w:r>
      <w:proofErr w:type="spellEnd"/>
      <w:r w:rsidRPr="008D07BD">
        <w:rPr>
          <w:rFonts w:ascii="Verdana" w:hAnsi="Verdana" w:cs="Arial"/>
          <w:sz w:val="22"/>
          <w:szCs w:val="22"/>
        </w:rPr>
        <w:t xml:space="preserve">, in programma in questi giorni alla Fortezza da Basso di Firenze, promosso dalla Regione Toscana insieme a </w:t>
      </w:r>
      <w:proofErr w:type="spellStart"/>
      <w:r w:rsidRPr="008D07BD">
        <w:rPr>
          <w:rFonts w:ascii="Verdana" w:hAnsi="Verdana" w:cs="Arial"/>
          <w:sz w:val="22"/>
          <w:szCs w:val="22"/>
        </w:rPr>
        <w:t>PromoFirenze</w:t>
      </w:r>
      <w:proofErr w:type="spellEnd"/>
      <w:r w:rsidRPr="008D07BD">
        <w:rPr>
          <w:rFonts w:ascii="Verdana" w:hAnsi="Verdana" w:cs="Arial"/>
          <w:sz w:val="22"/>
          <w:szCs w:val="22"/>
        </w:rPr>
        <w:t xml:space="preserve"> - Camera di Commercio di Firenze.</w:t>
      </w:r>
    </w:p>
    <w:p w14:paraId="004A04AD" w14:textId="77777777" w:rsidR="00C52FDD" w:rsidRDefault="00C52FDD" w:rsidP="00C52FDD">
      <w:pPr>
        <w:spacing w:before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Un’occasione per scoprire le </w:t>
      </w:r>
      <w:r w:rsidRPr="008D07BD">
        <w:rPr>
          <w:rFonts w:ascii="Verdana" w:hAnsi="Verdana" w:cs="Arial"/>
          <w:sz w:val="22"/>
          <w:szCs w:val="22"/>
        </w:rPr>
        <w:t xml:space="preserve">produzioni vitivinicole </w:t>
      </w:r>
      <w:r>
        <w:rPr>
          <w:rFonts w:ascii="Verdana" w:hAnsi="Verdana" w:cs="Arial"/>
          <w:sz w:val="22"/>
          <w:szCs w:val="22"/>
        </w:rPr>
        <w:t>del nostro territorio, organizzato n</w:t>
      </w:r>
      <w:r w:rsidR="008D07BD" w:rsidRPr="008D07BD">
        <w:rPr>
          <w:rFonts w:ascii="Verdana" w:hAnsi="Verdana" w:cs="Arial"/>
          <w:sz w:val="22"/>
          <w:szCs w:val="22"/>
        </w:rPr>
        <w:t>ell'ambito del progetto della Regione Toscana per la promozione del settore enogastronomico e delle bellezze artistiche e culturali</w:t>
      </w:r>
      <w:r>
        <w:rPr>
          <w:rFonts w:ascii="Verdana" w:hAnsi="Verdana" w:cs="Arial"/>
          <w:sz w:val="22"/>
          <w:szCs w:val="22"/>
        </w:rPr>
        <w:t>.</w:t>
      </w:r>
    </w:p>
    <w:p w14:paraId="013501EE" w14:textId="77777777" w:rsidR="00166577" w:rsidRDefault="00166577" w:rsidP="00C52FDD">
      <w:pPr>
        <w:spacing w:before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Il programma</w:t>
      </w:r>
      <w:r w:rsidR="008D07BD" w:rsidRPr="008D07BD">
        <w:rPr>
          <w:rFonts w:ascii="Verdana" w:hAnsi="Verdana" w:cs="Arial"/>
          <w:sz w:val="22"/>
          <w:szCs w:val="22"/>
        </w:rPr>
        <w:t xml:space="preserve"> della giornata</w:t>
      </w:r>
      <w:r w:rsidR="00C52FDD">
        <w:rPr>
          <w:rFonts w:ascii="Verdana" w:hAnsi="Verdana" w:cs="Arial"/>
          <w:sz w:val="22"/>
          <w:szCs w:val="22"/>
        </w:rPr>
        <w:t>,</w:t>
      </w:r>
      <w:r w:rsidR="008D07BD" w:rsidRPr="008D07BD">
        <w:rPr>
          <w:rFonts w:ascii="Verdana" w:hAnsi="Verdana" w:cs="Arial"/>
          <w:sz w:val="22"/>
          <w:szCs w:val="22"/>
        </w:rPr>
        <w:t xml:space="preserve"> realizzat</w:t>
      </w:r>
      <w:r>
        <w:rPr>
          <w:rFonts w:ascii="Verdana" w:hAnsi="Verdana" w:cs="Arial"/>
          <w:sz w:val="22"/>
          <w:szCs w:val="22"/>
        </w:rPr>
        <w:t>o</w:t>
      </w:r>
      <w:r w:rsidR="008D07BD" w:rsidRPr="008D07BD">
        <w:rPr>
          <w:rFonts w:ascii="Verdana" w:hAnsi="Verdana" w:cs="Arial"/>
          <w:sz w:val="22"/>
          <w:szCs w:val="22"/>
        </w:rPr>
        <w:t xml:space="preserve"> in collaborazione con il Consorzio Colline Lucchesi e Consorzio Vini Doc Montecarlo</w:t>
      </w:r>
      <w:r w:rsidR="00C52FDD">
        <w:rPr>
          <w:rFonts w:ascii="Verdana" w:hAnsi="Verdana" w:cs="Arial"/>
          <w:sz w:val="22"/>
          <w:szCs w:val="22"/>
        </w:rPr>
        <w:t xml:space="preserve">, prevede </w:t>
      </w:r>
      <w:r w:rsidR="008D07BD" w:rsidRPr="008D07BD">
        <w:rPr>
          <w:rFonts w:ascii="Verdana" w:hAnsi="Verdana" w:cs="Arial"/>
          <w:sz w:val="22"/>
          <w:szCs w:val="22"/>
        </w:rPr>
        <w:t xml:space="preserve">due Masterclass </w:t>
      </w:r>
      <w:r>
        <w:rPr>
          <w:rFonts w:ascii="Verdana" w:hAnsi="Verdana" w:cs="Arial"/>
          <w:sz w:val="22"/>
          <w:szCs w:val="22"/>
        </w:rPr>
        <w:t>con</w:t>
      </w:r>
      <w:r w:rsidR="008D07BD" w:rsidRPr="008D07BD">
        <w:rPr>
          <w:rFonts w:ascii="Verdana" w:hAnsi="Verdana" w:cs="Arial"/>
          <w:sz w:val="22"/>
          <w:szCs w:val="22"/>
        </w:rPr>
        <w:t xml:space="preserve"> otto etichette di vino in degustazione per ciascuna delle due denominazioni: </w:t>
      </w:r>
      <w:r>
        <w:rPr>
          <w:rFonts w:ascii="Verdana" w:hAnsi="Verdana" w:cs="Arial"/>
          <w:sz w:val="22"/>
          <w:szCs w:val="22"/>
        </w:rPr>
        <w:t>la prima guidata</w:t>
      </w:r>
      <w:r w:rsidR="008D07BD" w:rsidRPr="008D07BD">
        <w:rPr>
          <w:rFonts w:ascii="Verdana" w:hAnsi="Verdana" w:cs="Arial"/>
          <w:sz w:val="22"/>
          <w:szCs w:val="22"/>
        </w:rPr>
        <w:t xml:space="preserve"> da </w:t>
      </w:r>
      <w:r w:rsidR="008D07BD" w:rsidRPr="00166577">
        <w:rPr>
          <w:rFonts w:ascii="Verdana" w:hAnsi="Verdana" w:cs="Arial"/>
          <w:b/>
          <w:bCs/>
          <w:sz w:val="22"/>
          <w:szCs w:val="22"/>
        </w:rPr>
        <w:t>Moreno Petrini</w:t>
      </w:r>
      <w:r w:rsidR="008D07BD" w:rsidRPr="008D07BD">
        <w:rPr>
          <w:rFonts w:ascii="Verdana" w:hAnsi="Verdana" w:cs="Arial"/>
          <w:sz w:val="22"/>
          <w:szCs w:val="22"/>
        </w:rPr>
        <w:t xml:space="preserve">, Presidente del Consorzio Colline Lucchesi e </w:t>
      </w:r>
      <w:r>
        <w:rPr>
          <w:rFonts w:ascii="Verdana" w:hAnsi="Verdana" w:cs="Arial"/>
          <w:sz w:val="22"/>
          <w:szCs w:val="22"/>
        </w:rPr>
        <w:t>la seconda</w:t>
      </w:r>
      <w:r w:rsidR="008D07BD" w:rsidRPr="008D07BD">
        <w:rPr>
          <w:rFonts w:ascii="Verdana" w:hAnsi="Verdana" w:cs="Arial"/>
          <w:sz w:val="22"/>
          <w:szCs w:val="22"/>
        </w:rPr>
        <w:t xml:space="preserve"> da </w:t>
      </w:r>
      <w:r w:rsidR="008D07BD" w:rsidRPr="00166577">
        <w:rPr>
          <w:rFonts w:ascii="Verdana" w:hAnsi="Verdana" w:cs="Arial"/>
          <w:b/>
          <w:bCs/>
          <w:sz w:val="22"/>
          <w:szCs w:val="22"/>
        </w:rPr>
        <w:t>Gino Fuso Carmignani</w:t>
      </w:r>
      <w:r w:rsidR="008D07BD" w:rsidRPr="008D07BD">
        <w:rPr>
          <w:rFonts w:ascii="Verdana" w:hAnsi="Verdana" w:cs="Arial"/>
          <w:sz w:val="22"/>
          <w:szCs w:val="22"/>
        </w:rPr>
        <w:t xml:space="preserve">, Presidente del Consorzio Vini Doc Montecarlo. </w:t>
      </w:r>
    </w:p>
    <w:p w14:paraId="273CEC1B" w14:textId="52D31641" w:rsidR="00166577" w:rsidRDefault="003E2805" w:rsidP="00166577">
      <w:pPr>
        <w:spacing w:before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Grande entusiasmo e soddisfazione da parte dei buyer per le iniziative proposte, che</w:t>
      </w:r>
      <w:r w:rsidR="008D07BD" w:rsidRPr="008D07BD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hanno avuto</w:t>
      </w:r>
      <w:r w:rsidR="008D07BD" w:rsidRPr="008D07BD">
        <w:rPr>
          <w:rFonts w:ascii="Verdana" w:hAnsi="Verdana" w:cs="Arial"/>
          <w:sz w:val="22"/>
          <w:szCs w:val="22"/>
        </w:rPr>
        <w:t xml:space="preserve"> modo </w:t>
      </w:r>
      <w:r>
        <w:rPr>
          <w:rFonts w:ascii="Verdana" w:hAnsi="Verdana" w:cs="Arial"/>
          <w:sz w:val="22"/>
          <w:szCs w:val="22"/>
        </w:rPr>
        <w:t xml:space="preserve">anche </w:t>
      </w:r>
      <w:r w:rsidR="008D07BD" w:rsidRPr="008D07BD">
        <w:rPr>
          <w:rFonts w:ascii="Verdana" w:hAnsi="Verdana" w:cs="Arial"/>
          <w:sz w:val="22"/>
          <w:szCs w:val="22"/>
        </w:rPr>
        <w:t>di degustare i piatti tipici della tradizione lucchese accompagnati dai vini del territorio</w:t>
      </w:r>
      <w:r>
        <w:rPr>
          <w:rFonts w:ascii="Verdana" w:hAnsi="Verdana" w:cs="Arial"/>
          <w:sz w:val="22"/>
          <w:szCs w:val="22"/>
        </w:rPr>
        <w:t xml:space="preserve"> a pranzo </w:t>
      </w:r>
      <w:r w:rsidR="008D07BD" w:rsidRPr="008D07BD">
        <w:rPr>
          <w:rFonts w:ascii="Verdana" w:hAnsi="Verdana" w:cs="Arial"/>
          <w:sz w:val="22"/>
          <w:szCs w:val="22"/>
        </w:rPr>
        <w:t>presso il ristorante Syrah della Tenuta Buonamico di Montecarlo</w:t>
      </w:r>
      <w:r>
        <w:rPr>
          <w:rFonts w:ascii="Verdana" w:hAnsi="Verdana" w:cs="Arial"/>
          <w:sz w:val="22"/>
          <w:szCs w:val="22"/>
        </w:rPr>
        <w:t xml:space="preserve"> e a cena </w:t>
      </w:r>
      <w:r w:rsidRPr="008D07BD">
        <w:rPr>
          <w:rFonts w:ascii="Verdana" w:hAnsi="Verdana" w:cs="Arial"/>
          <w:sz w:val="22"/>
          <w:szCs w:val="22"/>
        </w:rPr>
        <w:t>presso il ristorante il Mecenate con menù degustazione e vini lucchesi in abbiname</w:t>
      </w:r>
      <w:r w:rsidR="00305238">
        <w:rPr>
          <w:rFonts w:ascii="Verdana" w:hAnsi="Verdana" w:cs="Arial"/>
          <w:sz w:val="22"/>
          <w:szCs w:val="22"/>
        </w:rPr>
        <w:t>nto</w:t>
      </w:r>
      <w:r w:rsidR="008D07BD" w:rsidRPr="008D07BD">
        <w:rPr>
          <w:rFonts w:ascii="Verdana" w:hAnsi="Verdana" w:cs="Arial"/>
          <w:sz w:val="22"/>
          <w:szCs w:val="22"/>
        </w:rPr>
        <w:t>.</w:t>
      </w:r>
    </w:p>
    <w:p w14:paraId="79705870" w14:textId="42A760CE" w:rsidR="00166577" w:rsidRDefault="00166577" w:rsidP="00166577">
      <w:pPr>
        <w:spacing w:before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Il </w:t>
      </w:r>
      <w:r w:rsidR="008D07BD" w:rsidRPr="008D07BD">
        <w:rPr>
          <w:rFonts w:ascii="Verdana" w:hAnsi="Verdana" w:cs="Arial"/>
          <w:sz w:val="22"/>
          <w:szCs w:val="22"/>
        </w:rPr>
        <w:t xml:space="preserve">pomeriggio è </w:t>
      </w:r>
      <w:r>
        <w:rPr>
          <w:rFonts w:ascii="Verdana" w:hAnsi="Verdana" w:cs="Arial"/>
          <w:sz w:val="22"/>
          <w:szCs w:val="22"/>
        </w:rPr>
        <w:t>stato dedicato al</w:t>
      </w:r>
      <w:r w:rsidR="008D07BD" w:rsidRPr="008D07BD">
        <w:rPr>
          <w:rFonts w:ascii="Verdana" w:hAnsi="Verdana" w:cs="Arial"/>
          <w:sz w:val="22"/>
          <w:szCs w:val="22"/>
        </w:rPr>
        <w:t xml:space="preserve">la visita guidata del borgo di </w:t>
      </w:r>
      <w:r w:rsidR="008D07BD" w:rsidRPr="00166577">
        <w:rPr>
          <w:rFonts w:ascii="Verdana" w:hAnsi="Verdana" w:cs="Arial"/>
          <w:b/>
          <w:bCs/>
          <w:sz w:val="22"/>
          <w:szCs w:val="22"/>
        </w:rPr>
        <w:t>Montecarlo</w:t>
      </w:r>
      <w:r w:rsidR="008D07BD" w:rsidRPr="008D07BD">
        <w:rPr>
          <w:rFonts w:ascii="Verdana" w:hAnsi="Verdana" w:cs="Arial"/>
          <w:sz w:val="22"/>
          <w:szCs w:val="22"/>
        </w:rPr>
        <w:t xml:space="preserve">, del centro storico di </w:t>
      </w:r>
      <w:r w:rsidR="008D07BD" w:rsidRPr="00166577">
        <w:rPr>
          <w:rFonts w:ascii="Verdana" w:hAnsi="Verdana" w:cs="Arial"/>
          <w:b/>
          <w:bCs/>
          <w:sz w:val="22"/>
          <w:szCs w:val="22"/>
        </w:rPr>
        <w:t>Lucca</w:t>
      </w:r>
      <w:r w:rsidR="008D07BD" w:rsidRPr="008D07BD">
        <w:rPr>
          <w:rFonts w:ascii="Verdana" w:hAnsi="Verdana" w:cs="Arial"/>
          <w:sz w:val="22"/>
          <w:szCs w:val="22"/>
        </w:rPr>
        <w:t xml:space="preserve"> e del </w:t>
      </w:r>
      <w:r w:rsidR="008D07BD" w:rsidRPr="00166577">
        <w:rPr>
          <w:rFonts w:ascii="Verdana" w:hAnsi="Verdana" w:cs="Arial"/>
          <w:b/>
          <w:bCs/>
          <w:sz w:val="22"/>
          <w:szCs w:val="22"/>
        </w:rPr>
        <w:t>Museo Puccini</w:t>
      </w:r>
      <w:r w:rsidR="003E2805">
        <w:rPr>
          <w:rFonts w:ascii="Verdana" w:hAnsi="Verdana" w:cs="Arial"/>
          <w:b/>
          <w:bCs/>
          <w:sz w:val="22"/>
          <w:szCs w:val="22"/>
        </w:rPr>
        <w:t>.</w:t>
      </w:r>
      <w:r w:rsidR="008D07BD" w:rsidRPr="008D07BD">
        <w:rPr>
          <w:rFonts w:ascii="Verdana" w:hAnsi="Verdana" w:cs="Arial"/>
          <w:sz w:val="22"/>
          <w:szCs w:val="22"/>
        </w:rPr>
        <w:t xml:space="preserve"> </w:t>
      </w:r>
    </w:p>
    <w:p w14:paraId="473C2D60" w14:textId="2E4EB7D5" w:rsidR="00472D66" w:rsidRDefault="003E2805" w:rsidP="00166577">
      <w:pPr>
        <w:spacing w:before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“</w:t>
      </w:r>
      <w:r w:rsidR="008D07BD" w:rsidRPr="008D07BD">
        <w:rPr>
          <w:rFonts w:ascii="Verdana" w:hAnsi="Verdana" w:cs="Arial"/>
          <w:sz w:val="22"/>
          <w:szCs w:val="22"/>
        </w:rPr>
        <w:t xml:space="preserve">Un evento </w:t>
      </w:r>
      <w:r>
        <w:rPr>
          <w:rFonts w:ascii="Verdana" w:hAnsi="Verdana" w:cs="Arial"/>
          <w:sz w:val="22"/>
          <w:szCs w:val="22"/>
        </w:rPr>
        <w:t xml:space="preserve">– ha dichiarato Rodolfo Pasquini, amministratore unico di Lucca </w:t>
      </w:r>
      <w:proofErr w:type="spellStart"/>
      <w:r>
        <w:rPr>
          <w:rFonts w:ascii="Verdana" w:hAnsi="Verdana" w:cs="Arial"/>
          <w:sz w:val="22"/>
          <w:szCs w:val="22"/>
        </w:rPr>
        <w:t>Promos</w:t>
      </w:r>
      <w:proofErr w:type="spellEnd"/>
      <w:r>
        <w:rPr>
          <w:rFonts w:ascii="Verdana" w:hAnsi="Verdana" w:cs="Arial"/>
          <w:sz w:val="22"/>
          <w:szCs w:val="22"/>
        </w:rPr>
        <w:t xml:space="preserve">, - </w:t>
      </w:r>
      <w:r w:rsidR="00166577">
        <w:rPr>
          <w:rFonts w:ascii="Verdana" w:hAnsi="Verdana" w:cs="Arial"/>
          <w:sz w:val="22"/>
          <w:szCs w:val="22"/>
        </w:rPr>
        <w:t>finalizzato a</w:t>
      </w:r>
      <w:r w:rsidR="008D07BD" w:rsidRPr="008D07BD">
        <w:rPr>
          <w:rFonts w:ascii="Verdana" w:hAnsi="Verdana" w:cs="Arial"/>
          <w:sz w:val="22"/>
          <w:szCs w:val="22"/>
        </w:rPr>
        <w:t xml:space="preserve"> far nascer</w:t>
      </w:r>
      <w:r w:rsidR="00166577">
        <w:rPr>
          <w:rFonts w:ascii="Verdana" w:hAnsi="Verdana" w:cs="Arial"/>
          <w:sz w:val="22"/>
          <w:szCs w:val="22"/>
        </w:rPr>
        <w:t>e</w:t>
      </w:r>
      <w:r w:rsidR="008D07BD" w:rsidRPr="008D07BD">
        <w:rPr>
          <w:rFonts w:ascii="Verdana" w:hAnsi="Verdana" w:cs="Arial"/>
          <w:sz w:val="22"/>
          <w:szCs w:val="22"/>
        </w:rPr>
        <w:t xml:space="preserve"> future opportunità di business e proficue collaborazioni </w:t>
      </w:r>
      <w:r w:rsidR="00166577" w:rsidRPr="008D07BD">
        <w:rPr>
          <w:rFonts w:ascii="Verdana" w:hAnsi="Verdana" w:cs="Arial"/>
          <w:sz w:val="22"/>
          <w:szCs w:val="22"/>
        </w:rPr>
        <w:t>per le aziende dei Consorzi</w:t>
      </w:r>
      <w:r w:rsidR="00166577">
        <w:rPr>
          <w:rFonts w:ascii="Verdana" w:hAnsi="Verdana" w:cs="Arial"/>
          <w:sz w:val="22"/>
          <w:szCs w:val="22"/>
        </w:rPr>
        <w:t>, ma anche un’occasione</w:t>
      </w:r>
      <w:r w:rsidR="008D07BD" w:rsidRPr="008D07BD">
        <w:rPr>
          <w:rFonts w:ascii="Verdana" w:hAnsi="Verdana" w:cs="Arial"/>
          <w:sz w:val="22"/>
          <w:szCs w:val="22"/>
        </w:rPr>
        <w:t xml:space="preserve"> far conoscere le bellezze del </w:t>
      </w:r>
      <w:r w:rsidR="00166577">
        <w:rPr>
          <w:rFonts w:ascii="Verdana" w:hAnsi="Verdana" w:cs="Arial"/>
          <w:sz w:val="22"/>
          <w:szCs w:val="22"/>
        </w:rPr>
        <w:t xml:space="preserve">nostro </w:t>
      </w:r>
      <w:r w:rsidR="008D07BD" w:rsidRPr="008D07BD">
        <w:rPr>
          <w:rFonts w:ascii="Verdana" w:hAnsi="Verdana" w:cs="Arial"/>
          <w:sz w:val="22"/>
          <w:szCs w:val="22"/>
        </w:rPr>
        <w:t>territorio</w:t>
      </w:r>
      <w:r w:rsidR="00166577">
        <w:rPr>
          <w:rFonts w:ascii="Verdana" w:hAnsi="Verdana" w:cs="Arial"/>
          <w:sz w:val="22"/>
          <w:szCs w:val="22"/>
        </w:rPr>
        <w:t xml:space="preserve"> all’insegna del brand</w:t>
      </w:r>
      <w:r w:rsidR="008D07BD" w:rsidRPr="008D07BD">
        <w:rPr>
          <w:rFonts w:ascii="Verdana" w:hAnsi="Verdana" w:cs="Arial"/>
          <w:sz w:val="22"/>
          <w:szCs w:val="22"/>
        </w:rPr>
        <w:t xml:space="preserve"> The Lands of Giacomo Puccini</w:t>
      </w:r>
      <w:r>
        <w:rPr>
          <w:rFonts w:ascii="Verdana" w:hAnsi="Verdana" w:cs="Arial"/>
          <w:sz w:val="22"/>
          <w:szCs w:val="22"/>
        </w:rPr>
        <w:t>”</w:t>
      </w:r>
      <w:r w:rsidR="008D07BD" w:rsidRPr="008D07BD">
        <w:rPr>
          <w:rFonts w:ascii="Verdana" w:hAnsi="Verdana" w:cs="Arial"/>
          <w:sz w:val="22"/>
          <w:szCs w:val="22"/>
        </w:rPr>
        <w:t>.</w:t>
      </w:r>
    </w:p>
    <w:p w14:paraId="44BDA9D0" w14:textId="73F068A1" w:rsidR="00BF7022" w:rsidRDefault="00BF7022" w:rsidP="00BF7022">
      <w:pPr>
        <w:spacing w:before="240"/>
        <w:jc w:val="both"/>
        <w:rPr>
          <w:rFonts w:ascii="Verdana" w:hAnsi="Verdana" w:cs="Arial"/>
          <w:sz w:val="22"/>
          <w:szCs w:val="22"/>
        </w:rPr>
      </w:pPr>
      <w:r w:rsidRPr="00BF7022">
        <w:rPr>
          <w:rFonts w:ascii="Verdana" w:hAnsi="Verdana" w:cs="Arial"/>
          <w:sz w:val="22"/>
          <w:szCs w:val="22"/>
        </w:rPr>
        <w:t>L’evento è</w:t>
      </w:r>
      <w:r w:rsidR="003E2805">
        <w:rPr>
          <w:rFonts w:ascii="Verdana" w:hAnsi="Verdana" w:cs="Arial"/>
          <w:sz w:val="22"/>
          <w:szCs w:val="22"/>
        </w:rPr>
        <w:t xml:space="preserve"> stato</w:t>
      </w:r>
      <w:r w:rsidRPr="00BF7022">
        <w:rPr>
          <w:rFonts w:ascii="Verdana" w:hAnsi="Verdana" w:cs="Arial"/>
          <w:sz w:val="22"/>
          <w:szCs w:val="22"/>
        </w:rPr>
        <w:t xml:space="preserve"> promosso da Regione</w:t>
      </w:r>
      <w:r>
        <w:rPr>
          <w:rFonts w:ascii="Verdana" w:hAnsi="Verdana" w:cs="Arial"/>
          <w:sz w:val="22"/>
          <w:szCs w:val="22"/>
        </w:rPr>
        <w:t xml:space="preserve"> </w:t>
      </w:r>
      <w:r w:rsidRPr="00BF7022">
        <w:rPr>
          <w:rFonts w:ascii="Verdana" w:hAnsi="Verdana" w:cs="Arial"/>
          <w:sz w:val="22"/>
          <w:szCs w:val="22"/>
        </w:rPr>
        <w:t xml:space="preserve">Toscana insieme a Camera di Commercio di Firenze e organizzato da </w:t>
      </w:r>
      <w:proofErr w:type="spellStart"/>
      <w:r w:rsidRPr="00BF7022">
        <w:rPr>
          <w:rFonts w:ascii="Verdana" w:hAnsi="Verdana" w:cs="Arial"/>
          <w:sz w:val="22"/>
          <w:szCs w:val="22"/>
        </w:rPr>
        <w:t>PromoFirenze</w:t>
      </w:r>
      <w:proofErr w:type="spellEnd"/>
      <w:r w:rsidRPr="00BF7022">
        <w:rPr>
          <w:rFonts w:ascii="Verdana" w:hAnsi="Verdana" w:cs="Arial"/>
          <w:sz w:val="22"/>
          <w:szCs w:val="22"/>
        </w:rPr>
        <w:t>. Il coordinamento</w:t>
      </w:r>
      <w:r>
        <w:rPr>
          <w:rFonts w:ascii="Verdana" w:hAnsi="Verdana" w:cs="Arial"/>
          <w:sz w:val="22"/>
          <w:szCs w:val="22"/>
        </w:rPr>
        <w:t xml:space="preserve"> </w:t>
      </w:r>
      <w:r w:rsidRPr="00BF7022">
        <w:rPr>
          <w:rFonts w:ascii="Verdana" w:hAnsi="Verdana" w:cs="Arial"/>
          <w:sz w:val="22"/>
          <w:szCs w:val="22"/>
        </w:rPr>
        <w:t xml:space="preserve">della comunicazione è curato da Fondazione Sistema Toscana. L’edizione 2022 </w:t>
      </w:r>
      <w:r w:rsidR="003E2805">
        <w:rPr>
          <w:rFonts w:ascii="Verdana" w:hAnsi="Verdana" w:cs="Arial"/>
          <w:sz w:val="22"/>
          <w:szCs w:val="22"/>
        </w:rPr>
        <w:t>ha visto</w:t>
      </w:r>
      <w:r w:rsidRPr="00BF7022">
        <w:rPr>
          <w:rFonts w:ascii="Verdana" w:hAnsi="Verdana" w:cs="Arial"/>
          <w:sz w:val="22"/>
          <w:szCs w:val="22"/>
        </w:rPr>
        <w:t xml:space="preserve"> rinnovarsi il rapporto</w:t>
      </w:r>
      <w:r>
        <w:rPr>
          <w:rFonts w:ascii="Verdana" w:hAnsi="Verdana" w:cs="Arial"/>
          <w:sz w:val="22"/>
          <w:szCs w:val="22"/>
        </w:rPr>
        <w:t xml:space="preserve"> </w:t>
      </w:r>
      <w:r w:rsidRPr="00BF7022">
        <w:rPr>
          <w:rFonts w:ascii="Verdana" w:hAnsi="Verdana" w:cs="Arial"/>
          <w:sz w:val="22"/>
          <w:szCs w:val="22"/>
        </w:rPr>
        <w:t xml:space="preserve">con True </w:t>
      </w:r>
      <w:proofErr w:type="spellStart"/>
      <w:r w:rsidRPr="00BF7022">
        <w:rPr>
          <w:rFonts w:ascii="Verdana" w:hAnsi="Verdana" w:cs="Arial"/>
          <w:sz w:val="22"/>
          <w:szCs w:val="22"/>
        </w:rPr>
        <w:t>Italian</w:t>
      </w:r>
      <w:proofErr w:type="spellEnd"/>
      <w:r w:rsidRPr="00BF7022">
        <w:rPr>
          <w:rFonts w:ascii="Verdana" w:hAnsi="Verdana" w:cs="Arial"/>
          <w:sz w:val="22"/>
          <w:szCs w:val="22"/>
        </w:rPr>
        <w:t xml:space="preserve"> Taste, MAECI, </w:t>
      </w:r>
      <w:proofErr w:type="spellStart"/>
      <w:r w:rsidRPr="00BF7022">
        <w:rPr>
          <w:rFonts w:ascii="Verdana" w:hAnsi="Verdana" w:cs="Arial"/>
          <w:sz w:val="22"/>
          <w:szCs w:val="22"/>
        </w:rPr>
        <w:t>Assocamerestero</w:t>
      </w:r>
      <w:proofErr w:type="spellEnd"/>
      <w:r w:rsidRPr="00BF7022">
        <w:rPr>
          <w:rFonts w:ascii="Verdana" w:hAnsi="Verdana" w:cs="Arial"/>
          <w:sz w:val="22"/>
          <w:szCs w:val="22"/>
        </w:rPr>
        <w:t>, per il prezioso contributo nella selezione dei buyer da Stati</w:t>
      </w:r>
      <w:r>
        <w:rPr>
          <w:rFonts w:ascii="Verdana" w:hAnsi="Verdana" w:cs="Arial"/>
          <w:sz w:val="22"/>
          <w:szCs w:val="22"/>
        </w:rPr>
        <w:t xml:space="preserve"> </w:t>
      </w:r>
      <w:r w:rsidRPr="00BF7022">
        <w:rPr>
          <w:rFonts w:ascii="Verdana" w:hAnsi="Verdana" w:cs="Arial"/>
          <w:sz w:val="22"/>
          <w:szCs w:val="22"/>
        </w:rPr>
        <w:t>Uniti e Canada.</w:t>
      </w:r>
    </w:p>
    <w:p w14:paraId="23A6D7CC" w14:textId="52B17557" w:rsidR="00166577" w:rsidRDefault="00166577" w:rsidP="00166577">
      <w:pPr>
        <w:spacing w:before="240"/>
        <w:jc w:val="both"/>
        <w:rPr>
          <w:rFonts w:ascii="Verdana" w:hAnsi="Verdana" w:cs="Arial"/>
          <w:sz w:val="22"/>
          <w:szCs w:val="22"/>
        </w:rPr>
      </w:pPr>
    </w:p>
    <w:p w14:paraId="7CEF76B9" w14:textId="09AA9B89" w:rsidR="00166577" w:rsidRDefault="00166577" w:rsidP="00166577">
      <w:pPr>
        <w:spacing w:before="240"/>
        <w:jc w:val="both"/>
        <w:rPr>
          <w:rFonts w:ascii="Verdana" w:hAnsi="Verdana" w:cs="Arial"/>
          <w:sz w:val="22"/>
          <w:szCs w:val="22"/>
        </w:rPr>
      </w:pPr>
    </w:p>
    <w:p w14:paraId="711D81DA" w14:textId="77777777" w:rsidR="00166577" w:rsidRPr="00166577" w:rsidRDefault="00166577" w:rsidP="00166577">
      <w:pPr>
        <w:spacing w:before="240"/>
        <w:jc w:val="both"/>
        <w:rPr>
          <w:rFonts w:ascii="Verdana" w:hAnsi="Verdana" w:cs="Arial"/>
          <w:sz w:val="22"/>
          <w:szCs w:val="22"/>
        </w:rPr>
      </w:pPr>
    </w:p>
    <w:p w14:paraId="43A3B823" w14:textId="7ADBE696" w:rsidR="001C4BD5" w:rsidRDefault="001C4BD5">
      <w:pPr>
        <w:jc w:val="both"/>
      </w:pPr>
    </w:p>
    <w:p w14:paraId="6129FA75" w14:textId="77777777" w:rsidR="001C4BD5" w:rsidRDefault="001C4BD5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305238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859BD"/>
    <w:rsid w:val="000863F3"/>
    <w:rsid w:val="000C051F"/>
    <w:rsid w:val="00166577"/>
    <w:rsid w:val="001C4BD5"/>
    <w:rsid w:val="00231451"/>
    <w:rsid w:val="00305238"/>
    <w:rsid w:val="003E2805"/>
    <w:rsid w:val="00472D66"/>
    <w:rsid w:val="005D3DCB"/>
    <w:rsid w:val="00661592"/>
    <w:rsid w:val="0089444C"/>
    <w:rsid w:val="008D07BD"/>
    <w:rsid w:val="008E1F9E"/>
    <w:rsid w:val="00941C7C"/>
    <w:rsid w:val="00987CE4"/>
    <w:rsid w:val="009B5455"/>
    <w:rsid w:val="009E0FE0"/>
    <w:rsid w:val="00A80914"/>
    <w:rsid w:val="00A85CBD"/>
    <w:rsid w:val="00AB73F6"/>
    <w:rsid w:val="00AC4481"/>
    <w:rsid w:val="00BA20EE"/>
    <w:rsid w:val="00BF7022"/>
    <w:rsid w:val="00C52FDD"/>
    <w:rsid w:val="00CC3158"/>
    <w:rsid w:val="00D0639F"/>
    <w:rsid w:val="00E472FC"/>
    <w:rsid w:val="00F43DE9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6</cp:revision>
  <cp:lastPrinted>2021-12-15T09:36:00Z</cp:lastPrinted>
  <dcterms:created xsi:type="dcterms:W3CDTF">2022-02-09T17:04:00Z</dcterms:created>
  <dcterms:modified xsi:type="dcterms:W3CDTF">2022-02-14T13:39:00Z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