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B6AC" w14:textId="48279FFA" w:rsidR="00987CE4" w:rsidRPr="00987CE4" w:rsidRDefault="007C6D77" w:rsidP="00987CE4">
      <w:pPr>
        <w:ind w:right="-285" w:hanging="284"/>
        <w:jc w:val="center"/>
        <w:rPr>
          <w:rFonts w:ascii="Verdana" w:hAnsi="Verdana" w:cs="Arial"/>
          <w:b/>
          <w:bCs/>
          <w:sz w:val="22"/>
          <w:szCs w:val="22"/>
        </w:rPr>
      </w:pPr>
      <w:r w:rsidRPr="007C6D77">
        <w:rPr>
          <w:rFonts w:ascii="Verdana" w:hAnsi="Verdana" w:cs="Arial"/>
          <w:b/>
          <w:bCs/>
          <w:sz w:val="28"/>
          <w:szCs w:val="28"/>
        </w:rPr>
        <w:t>Nel 2021 crescita sensibile per l’imprenditoria femminile in provincia di Lucca</w:t>
      </w:r>
    </w:p>
    <w:p w14:paraId="3085F627" w14:textId="7B873AAD" w:rsidR="007C6D77" w:rsidRPr="007C6D77" w:rsidRDefault="007C6D77" w:rsidP="007C6D77">
      <w:pPr>
        <w:jc w:val="both"/>
        <w:rPr>
          <w:rFonts w:ascii="Verdana" w:hAnsi="Verdana"/>
        </w:rPr>
      </w:pPr>
      <w:r w:rsidRPr="00C31339">
        <w:rPr>
          <w:rFonts w:ascii="Verdana" w:hAnsi="Verdana" w:cs="Arial"/>
          <w:i/>
          <w:sz w:val="22"/>
          <w:szCs w:val="22"/>
        </w:rPr>
        <w:t xml:space="preserve">Lucca, </w:t>
      </w:r>
      <w:r>
        <w:rPr>
          <w:rFonts w:ascii="Verdana" w:hAnsi="Verdana" w:cs="Arial"/>
          <w:i/>
          <w:sz w:val="22"/>
          <w:szCs w:val="22"/>
        </w:rPr>
        <w:t>7</w:t>
      </w:r>
      <w:r>
        <w:rPr>
          <w:rFonts w:ascii="Verdana" w:hAnsi="Verdana" w:cs="Arial"/>
          <w:i/>
          <w:sz w:val="22"/>
          <w:szCs w:val="22"/>
        </w:rPr>
        <w:t xml:space="preserve"> </w:t>
      </w:r>
      <w:r w:rsidRPr="00C31339">
        <w:rPr>
          <w:rFonts w:ascii="Verdana" w:hAnsi="Verdana" w:cs="Arial"/>
          <w:i/>
          <w:sz w:val="22"/>
          <w:szCs w:val="22"/>
        </w:rPr>
        <w:t>marzo 2022</w:t>
      </w:r>
      <w:r>
        <w:rPr>
          <w:rFonts w:ascii="Verdana" w:hAnsi="Verdana"/>
        </w:rPr>
        <w:t xml:space="preserve"> - </w:t>
      </w:r>
      <w:r w:rsidRPr="007C6D77">
        <w:rPr>
          <w:rFonts w:ascii="Verdana" w:hAnsi="Verdana" w:cs="Arial"/>
          <w:iCs/>
          <w:sz w:val="22"/>
          <w:szCs w:val="22"/>
        </w:rPr>
        <w:t xml:space="preserve">Con una variazione positiva del </w:t>
      </w:r>
      <w:r w:rsidRPr="007C6D77">
        <w:rPr>
          <w:rFonts w:ascii="Verdana" w:hAnsi="Verdana" w:cs="Arial"/>
          <w:b/>
          <w:bCs/>
          <w:iCs/>
          <w:sz w:val="22"/>
          <w:szCs w:val="22"/>
        </w:rPr>
        <w:t>+1,3% nell’ultimo anno</w:t>
      </w:r>
      <w:r w:rsidRPr="007C6D77">
        <w:rPr>
          <w:rFonts w:ascii="Verdana" w:hAnsi="Verdana" w:cs="Arial"/>
          <w:iCs/>
          <w:sz w:val="22"/>
          <w:szCs w:val="22"/>
        </w:rPr>
        <w:t xml:space="preserve">, le imprese femminili attive in provincia di Lucca hanno raggiunto </w:t>
      </w:r>
      <w:r w:rsidRPr="007C6D77">
        <w:rPr>
          <w:rFonts w:ascii="Verdana" w:hAnsi="Verdana" w:cs="Arial"/>
          <w:b/>
          <w:bCs/>
          <w:iCs/>
          <w:sz w:val="22"/>
          <w:szCs w:val="22"/>
        </w:rPr>
        <w:t>quota 8.301</w:t>
      </w:r>
      <w:r w:rsidRPr="007C6D77">
        <w:rPr>
          <w:rFonts w:ascii="Verdana" w:hAnsi="Verdana" w:cs="Arial"/>
          <w:iCs/>
          <w:sz w:val="22"/>
          <w:szCs w:val="22"/>
        </w:rPr>
        <w:t xml:space="preserve"> (+103 unità) a fine 2021, il 22,7% del tessuto imprenditoriale lucchese; si tratta di un valore in linea con la media nazionale ma ancora inferiore a quella toscana che si attesta al 23,9%.</w:t>
      </w:r>
    </w:p>
    <w:p w14:paraId="1E41042C" w14:textId="77777777" w:rsidR="007C6D77" w:rsidRPr="007C6D77" w:rsidRDefault="007C6D77" w:rsidP="007C6D77">
      <w:pPr>
        <w:jc w:val="both"/>
        <w:rPr>
          <w:rFonts w:ascii="Verdana" w:hAnsi="Verdana" w:cs="Arial"/>
          <w:iCs/>
          <w:sz w:val="22"/>
          <w:szCs w:val="22"/>
        </w:rPr>
      </w:pPr>
      <w:r w:rsidRPr="007C6D77">
        <w:rPr>
          <w:rFonts w:ascii="Verdana" w:hAnsi="Verdana" w:cs="Arial"/>
          <w:iCs/>
          <w:sz w:val="22"/>
          <w:szCs w:val="22"/>
        </w:rPr>
        <w:t>Nel corso degli ultimi 12 mesi le nuove iscrizioni di imprese femminili al Registro Imprese della Camera di Commercio di Lucca sono state 608 a fronte di 497 cancellazioni.</w:t>
      </w:r>
    </w:p>
    <w:p w14:paraId="3F49C2D5" w14:textId="77777777" w:rsidR="007C6D77" w:rsidRPr="007C6D77" w:rsidRDefault="007C6D77" w:rsidP="007C6D77">
      <w:pPr>
        <w:jc w:val="both"/>
        <w:rPr>
          <w:rFonts w:ascii="Verdana" w:hAnsi="Verdana" w:cs="Arial"/>
          <w:iCs/>
          <w:sz w:val="22"/>
          <w:szCs w:val="22"/>
        </w:rPr>
      </w:pPr>
      <w:r w:rsidRPr="007C6D77">
        <w:rPr>
          <w:rFonts w:ascii="Verdana" w:hAnsi="Verdana" w:cs="Arial"/>
          <w:iCs/>
          <w:sz w:val="22"/>
          <w:szCs w:val="22"/>
        </w:rPr>
        <w:t xml:space="preserve">I settori in cui opera il più elevato numero di imprese femminili sono il </w:t>
      </w:r>
      <w:r w:rsidRPr="007C6D77">
        <w:rPr>
          <w:rFonts w:ascii="Verdana" w:hAnsi="Verdana" w:cs="Arial"/>
          <w:b/>
          <w:bCs/>
          <w:iCs/>
          <w:sz w:val="22"/>
          <w:szCs w:val="22"/>
        </w:rPr>
        <w:t>commercio</w:t>
      </w:r>
      <w:r w:rsidRPr="007C6D77">
        <w:rPr>
          <w:rFonts w:ascii="Verdana" w:hAnsi="Verdana" w:cs="Arial"/>
          <w:iCs/>
          <w:sz w:val="22"/>
          <w:szCs w:val="22"/>
        </w:rPr>
        <w:t xml:space="preserve"> (2.341 imprese femminili operative, il 25,2% del totale settoriale) che ha mostrato una crescita del +1,6% nell’anno, i servizi di </w:t>
      </w:r>
      <w:r w:rsidRPr="007C6D77">
        <w:rPr>
          <w:rFonts w:ascii="Verdana" w:hAnsi="Verdana" w:cs="Arial"/>
          <w:b/>
          <w:bCs/>
          <w:iCs/>
          <w:sz w:val="22"/>
          <w:szCs w:val="22"/>
        </w:rPr>
        <w:t>alloggio e ristorazione</w:t>
      </w:r>
      <w:r w:rsidRPr="007C6D77">
        <w:rPr>
          <w:rFonts w:ascii="Verdana" w:hAnsi="Verdana" w:cs="Arial"/>
          <w:iCs/>
          <w:sz w:val="22"/>
          <w:szCs w:val="22"/>
        </w:rPr>
        <w:t xml:space="preserve"> (1.123; 31,7%) in calo del -0,4%, e le </w:t>
      </w:r>
      <w:r w:rsidRPr="007C6D77">
        <w:rPr>
          <w:rFonts w:ascii="Verdana" w:hAnsi="Verdana" w:cs="Arial"/>
          <w:b/>
          <w:bCs/>
          <w:iCs/>
          <w:sz w:val="22"/>
          <w:szCs w:val="22"/>
        </w:rPr>
        <w:t>altre attività dei servizi</w:t>
      </w:r>
      <w:r w:rsidRPr="007C6D77">
        <w:rPr>
          <w:rFonts w:ascii="Verdana" w:hAnsi="Verdana" w:cs="Arial"/>
          <w:iCs/>
          <w:sz w:val="22"/>
          <w:szCs w:val="22"/>
        </w:rPr>
        <w:t xml:space="preserve"> (acconciatrici, istituti di bellezza, lavanderie, etc.), settore che presenta la più elevata incidenza femminile (946 imprese; 53,7%) e dove le imprese attive sono diminuite del -0,2%. Un’incidenza femminile superiore alla media provinciale si rileva anche per le attività agricole (710 imprese; 30,2%), in calo del -1,1%, e per le attività immobiliari (665; 27,1%).</w:t>
      </w:r>
    </w:p>
    <w:p w14:paraId="0BC43DB9" w14:textId="77777777" w:rsidR="007C6D77" w:rsidRPr="007C6D77" w:rsidRDefault="007C6D77" w:rsidP="007C6D77">
      <w:pPr>
        <w:jc w:val="both"/>
        <w:rPr>
          <w:rFonts w:ascii="Verdana" w:hAnsi="Verdana" w:cs="Arial"/>
          <w:iCs/>
          <w:sz w:val="22"/>
          <w:szCs w:val="22"/>
        </w:rPr>
      </w:pPr>
      <w:r w:rsidRPr="007C6D77">
        <w:rPr>
          <w:rFonts w:ascii="Verdana" w:hAnsi="Verdana" w:cs="Arial"/>
          <w:iCs/>
          <w:sz w:val="22"/>
          <w:szCs w:val="22"/>
        </w:rPr>
        <w:t xml:space="preserve">A livello </w:t>
      </w:r>
      <w:r w:rsidRPr="007C6D77">
        <w:rPr>
          <w:rFonts w:ascii="Verdana" w:hAnsi="Verdana" w:cs="Arial"/>
          <w:b/>
          <w:bCs/>
          <w:iCs/>
          <w:sz w:val="22"/>
          <w:szCs w:val="22"/>
        </w:rPr>
        <w:t>territoriale</w:t>
      </w:r>
      <w:r w:rsidRPr="007C6D77">
        <w:rPr>
          <w:rFonts w:ascii="Verdana" w:hAnsi="Verdana" w:cs="Arial"/>
          <w:iCs/>
          <w:sz w:val="22"/>
          <w:szCs w:val="22"/>
        </w:rPr>
        <w:t xml:space="preserve"> il 44,8% (3.719 unità) delle imprese femminili è localizzato in Versilia, il 40,8% (3.388) nella Piana di Lucca e il 14,4% (1.194) in Valle del Serchio, dove l’incidenza femminile arriva al 27,2% del totale. In Versilia (22,3%) e Piana di Lucca (21,9%) la presenza femminile risulta invece al disotto della media.</w:t>
      </w:r>
    </w:p>
    <w:p w14:paraId="02809B9B" w14:textId="77777777" w:rsidR="007C6D77" w:rsidRPr="007C6D77" w:rsidRDefault="007C6D77" w:rsidP="007C6D77">
      <w:pPr>
        <w:jc w:val="both"/>
        <w:rPr>
          <w:rFonts w:ascii="Verdana" w:hAnsi="Verdana" w:cs="Arial"/>
          <w:iCs/>
          <w:sz w:val="22"/>
          <w:szCs w:val="22"/>
        </w:rPr>
      </w:pPr>
      <w:r w:rsidRPr="007C6D77">
        <w:rPr>
          <w:rFonts w:ascii="Verdana" w:hAnsi="Verdana" w:cs="Arial"/>
          <w:iCs/>
          <w:sz w:val="22"/>
          <w:szCs w:val="22"/>
        </w:rPr>
        <w:t xml:space="preserve">Con riferimento alla </w:t>
      </w:r>
      <w:r w:rsidRPr="007C6D77">
        <w:rPr>
          <w:rFonts w:ascii="Verdana" w:hAnsi="Verdana" w:cs="Arial"/>
          <w:b/>
          <w:bCs/>
          <w:iCs/>
          <w:sz w:val="22"/>
          <w:szCs w:val="22"/>
        </w:rPr>
        <w:t>natura giuridica</w:t>
      </w:r>
      <w:r w:rsidRPr="007C6D77">
        <w:rPr>
          <w:rFonts w:ascii="Verdana" w:hAnsi="Verdana" w:cs="Arial"/>
          <w:iCs/>
          <w:sz w:val="22"/>
          <w:szCs w:val="22"/>
        </w:rPr>
        <w:t>, le imprese individuali in rosa sono 5.198 e coprono il 62,6% del sistema imprenditoriale femminile, facendo registrare un aumento di 56 unità nell’anno; le società di capitali sono 1.674 (+3,5%; +56 unità), pari al 20,2% del totale. Per le società di persone si rileva una diminuzione rispetto al 2020, con 13 unità in meno, scendendo a quota 1.259 per il 15,2% del totale, mentre le imprese costituite con “altre forme” si fermano a 170 per appena il 2% del totale.</w:t>
      </w:r>
    </w:p>
    <w:p w14:paraId="1ADE4208" w14:textId="77777777" w:rsidR="007C6D77" w:rsidRPr="007C6D77" w:rsidRDefault="007C6D77" w:rsidP="007C6D77">
      <w:pPr>
        <w:jc w:val="both"/>
        <w:rPr>
          <w:rFonts w:ascii="Verdana" w:hAnsi="Verdana" w:cs="Arial"/>
          <w:iCs/>
          <w:sz w:val="22"/>
          <w:szCs w:val="22"/>
        </w:rPr>
      </w:pPr>
      <w:r w:rsidRPr="007C6D77">
        <w:rPr>
          <w:rFonts w:ascii="Verdana" w:hAnsi="Verdana" w:cs="Arial"/>
          <w:iCs/>
          <w:sz w:val="22"/>
          <w:szCs w:val="22"/>
        </w:rPr>
        <w:t xml:space="preserve">A fine 2021 le imprese femminili e </w:t>
      </w:r>
      <w:r w:rsidRPr="007C6D77">
        <w:rPr>
          <w:rFonts w:ascii="Verdana" w:hAnsi="Verdana" w:cs="Arial"/>
          <w:b/>
          <w:bCs/>
          <w:iCs/>
          <w:sz w:val="22"/>
          <w:szCs w:val="22"/>
        </w:rPr>
        <w:t>artigiane</w:t>
      </w:r>
      <w:r w:rsidRPr="007C6D77">
        <w:rPr>
          <w:rFonts w:ascii="Verdana" w:hAnsi="Verdana" w:cs="Arial"/>
          <w:iCs/>
          <w:sz w:val="22"/>
          <w:szCs w:val="22"/>
        </w:rPr>
        <w:t xml:space="preserve"> sono 1.743 (-4 unità rispetto al 2020) e corrispondono al 21,0% delle attività guidate da donne e al 15,8% delle imprese artigiane in provincia, mentre le imprese straniere femminili raggiungono quota 961 (11,6% delle femminili e 22,3% delle straniere) grazie a un aumento di 23 unità (+2,5%) rispetto a dodici mesi prima. Le imprese in rosa guidate da giovani (under 35) sono salite a quota 817 (+12 unità; +1,5% rispetto a un anno prima), per il 9,8% del totale imprese femminili e il 28,7% delle giovanili attive in provincia.</w:t>
      </w:r>
    </w:p>
    <w:p w14:paraId="473C2D60" w14:textId="15BF67C1" w:rsidR="00472D66" w:rsidRDefault="007C6D77">
      <w:pPr>
        <w:jc w:val="both"/>
        <w:rPr>
          <w:rFonts w:ascii="Verdana" w:hAnsi="Verdana" w:cs="Arial"/>
          <w:iCs/>
          <w:sz w:val="22"/>
          <w:szCs w:val="22"/>
        </w:rPr>
      </w:pPr>
      <w:r w:rsidRPr="007C6D77">
        <w:rPr>
          <w:rFonts w:ascii="Verdana" w:hAnsi="Verdana" w:cs="Arial"/>
          <w:iCs/>
          <w:sz w:val="22"/>
          <w:szCs w:val="22"/>
        </w:rPr>
        <w:t>Secondo quanto rilevato dal Sistema Informativo Excelsior (Unioncamere-</w:t>
      </w:r>
      <w:proofErr w:type="spellStart"/>
      <w:r w:rsidRPr="007C6D77">
        <w:rPr>
          <w:rFonts w:ascii="Verdana" w:hAnsi="Verdana" w:cs="Arial"/>
          <w:iCs/>
          <w:sz w:val="22"/>
          <w:szCs w:val="22"/>
        </w:rPr>
        <w:t>Anpal</w:t>
      </w:r>
      <w:proofErr w:type="spellEnd"/>
      <w:r w:rsidRPr="007C6D77">
        <w:rPr>
          <w:rFonts w:ascii="Verdana" w:hAnsi="Verdana" w:cs="Arial"/>
          <w:iCs/>
          <w:sz w:val="22"/>
          <w:szCs w:val="22"/>
        </w:rPr>
        <w:t>), indagine che rileva i fabbisogni occupazionali delle imprese, nell’intero anno 2021 solo il 18,1% delle assunzioni programmate dalle imprese lucchesi è stato rivolto esplicitamente a donne, un valore inferiore sia alla media regionale (22,1%) che al dato nazionale (18,6%). Per il 45,8% delle opportunità lavorative programmate per il 2021 le aziende lucchesi non hanno espresso alcuna preferenza di genere (Toscana: 44,6%; Italia: 47,3%), pertanto le possibilità di ingresso femminili in provincia hanno toccato il 63,9%. I settori che hanno previsto le più elevate quote di entrate di personale femminile sono le “industrie tessili, dell’abbigliamento e calzature” (41% delle entrate del settore), il “commercio al dettaglio, all’ingrosso e riparazione di autoveicoli e motocicli” (28%), i “servizi di alloggio, ristorazione e servizi turistici” (25%) e i “servizi di supporto alle imprese e alle persone” (25%).</w:t>
      </w:r>
    </w:p>
    <w:p w14:paraId="6AFC0484" w14:textId="77777777" w:rsidR="007C6D77" w:rsidRDefault="007C6D77">
      <w:pPr>
        <w:jc w:val="both"/>
        <w:rPr>
          <w:rFonts w:ascii="Verdana" w:hAnsi="Verdana"/>
        </w:rPr>
      </w:pPr>
    </w:p>
    <w:p w14:paraId="2EC34F21" w14:textId="77777777" w:rsidR="007C6D77" w:rsidRPr="00C31339" w:rsidRDefault="007C6D77">
      <w:pPr>
        <w:jc w:val="both"/>
        <w:rPr>
          <w:rFonts w:ascii="Verdana" w:hAnsi="Verdana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>
        <w:trPr>
          <w:trHeight w:val="680"/>
        </w:trPr>
        <w:tc>
          <w:tcPr>
            <w:tcW w:w="6012" w:type="dxa"/>
            <w:shd w:val="clear" w:color="auto" w:fill="FFFFFF"/>
          </w:tcPr>
          <w:p w14:paraId="71379368" w14:textId="77777777" w:rsidR="00A80914" w:rsidRDefault="00CC3158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49E2380E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7C6D77">
            <w:pPr>
              <w:jc w:val="right"/>
            </w:pPr>
            <w:hyperlink r:id="rId7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9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1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DE8E596" w14:textId="77777777" w:rsidR="00A80914" w:rsidRDefault="00A80914" w:rsidP="00661592"/>
    <w:sectPr w:rsidR="00A80914" w:rsidSect="00472D66">
      <w:headerReference w:type="default" r:id="rId13"/>
      <w:footerReference w:type="default" r:id="rId14"/>
      <w:pgSz w:w="11906" w:h="16838"/>
      <w:pgMar w:top="1985" w:right="1134" w:bottom="1135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6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4E5C00B2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 w:rsidR="009138B1">
      <w:rPr>
        <w:rFonts w:ascii="Verdana" w:hAnsi="Verdana" w:cs="Verdana"/>
        <w:color w:val="808080"/>
        <w:spacing w:val="20"/>
        <w:sz w:val="36"/>
        <w:lang w:val="pt-PT"/>
      </w:rPr>
      <w:t>Intervento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0859BD"/>
    <w:rsid w:val="000863F3"/>
    <w:rsid w:val="000C051F"/>
    <w:rsid w:val="00115AEF"/>
    <w:rsid w:val="001C277E"/>
    <w:rsid w:val="00264372"/>
    <w:rsid w:val="002A22AD"/>
    <w:rsid w:val="00354E6E"/>
    <w:rsid w:val="00355678"/>
    <w:rsid w:val="004025BE"/>
    <w:rsid w:val="00472D66"/>
    <w:rsid w:val="004E4087"/>
    <w:rsid w:val="00545AA3"/>
    <w:rsid w:val="005D3DCB"/>
    <w:rsid w:val="00661592"/>
    <w:rsid w:val="0066176A"/>
    <w:rsid w:val="00673381"/>
    <w:rsid w:val="006F4F49"/>
    <w:rsid w:val="007119F3"/>
    <w:rsid w:val="007B592B"/>
    <w:rsid w:val="007C6D77"/>
    <w:rsid w:val="0080528F"/>
    <w:rsid w:val="0089444C"/>
    <w:rsid w:val="008D5DBA"/>
    <w:rsid w:val="009138B1"/>
    <w:rsid w:val="00941C7C"/>
    <w:rsid w:val="009803C7"/>
    <w:rsid w:val="00987CE4"/>
    <w:rsid w:val="00A14D85"/>
    <w:rsid w:val="00A80914"/>
    <w:rsid w:val="00A85CBD"/>
    <w:rsid w:val="00A86106"/>
    <w:rsid w:val="00AB73F6"/>
    <w:rsid w:val="00B026FD"/>
    <w:rsid w:val="00BF5CE9"/>
    <w:rsid w:val="00C31339"/>
    <w:rsid w:val="00CB295A"/>
    <w:rsid w:val="00CC3158"/>
    <w:rsid w:val="00D0639F"/>
    <w:rsid w:val="00E3189E"/>
    <w:rsid w:val="00E472FC"/>
    <w:rsid w:val="00F43DE9"/>
    <w:rsid w:val="00F63F1A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7C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u.camcom.it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ameraCommercioLuc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lu.camcom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BA59-3850-42ED-B8AD-A5F0171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3</cp:revision>
  <cp:lastPrinted>2022-03-01T13:42:00Z</cp:lastPrinted>
  <dcterms:created xsi:type="dcterms:W3CDTF">2022-03-07T15:15:00Z</dcterms:created>
  <dcterms:modified xsi:type="dcterms:W3CDTF">2022-03-07T15:20:00Z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