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B6AC" w14:textId="252EC83F" w:rsidR="00987CE4" w:rsidRPr="00E14841" w:rsidRDefault="00E14841" w:rsidP="00E14841">
      <w:pPr>
        <w:spacing w:after="240"/>
        <w:ind w:right="-2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4"/>
          <w:szCs w:val="24"/>
        </w:rPr>
        <w:t>Crescita del +15,3% dell’export in provincia di Lucca nel 2021</w:t>
      </w:r>
      <w:r w:rsidR="00B6286E" w:rsidRPr="00C861F1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063D66">
        <w:rPr>
          <w:rFonts w:ascii="Verdana" w:hAnsi="Verdana" w:cs="Arial"/>
          <w:b/>
          <w:bCs/>
          <w:sz w:val="24"/>
          <w:szCs w:val="24"/>
        </w:rPr>
        <w:br/>
      </w:r>
      <w:r w:rsidRPr="00E14841">
        <w:rPr>
          <w:rFonts w:ascii="Verdana" w:hAnsi="Verdana" w:cs="Arial"/>
          <w:sz w:val="22"/>
          <w:szCs w:val="22"/>
        </w:rPr>
        <w:t xml:space="preserve">Analisi realizzata a cura </w:t>
      </w:r>
      <w:r w:rsidR="002C6AD9" w:rsidRPr="00E14841">
        <w:rPr>
          <w:rFonts w:ascii="Verdana" w:hAnsi="Verdana" w:cs="Arial"/>
          <w:sz w:val="22"/>
          <w:szCs w:val="22"/>
        </w:rPr>
        <w:t>dell’Ufficio Studi, Statistica e Politiche economiche della Camera di Commercio di Lucca</w:t>
      </w:r>
    </w:p>
    <w:p w14:paraId="1341E1A3" w14:textId="3610F7FC" w:rsidR="002C6AD9" w:rsidRPr="002C6AD9" w:rsidRDefault="007C6D77" w:rsidP="002C6AD9">
      <w:pPr>
        <w:jc w:val="both"/>
        <w:rPr>
          <w:rFonts w:ascii="Verdana" w:hAnsi="Verdana"/>
          <w:sz w:val="22"/>
          <w:szCs w:val="22"/>
        </w:rPr>
      </w:pPr>
      <w:r w:rsidRPr="00063D66">
        <w:rPr>
          <w:rFonts w:ascii="Verdana" w:hAnsi="Verdana" w:cs="Arial"/>
          <w:i/>
          <w:sz w:val="22"/>
          <w:szCs w:val="22"/>
        </w:rPr>
        <w:t xml:space="preserve">Lucca, </w:t>
      </w:r>
      <w:r w:rsidR="002C6AD9">
        <w:rPr>
          <w:rFonts w:ascii="Verdana" w:hAnsi="Verdana" w:cs="Arial"/>
          <w:i/>
          <w:sz w:val="22"/>
          <w:szCs w:val="22"/>
        </w:rPr>
        <w:t>11</w:t>
      </w:r>
      <w:r w:rsidRPr="00063D66">
        <w:rPr>
          <w:rFonts w:ascii="Verdana" w:hAnsi="Verdana" w:cs="Arial"/>
          <w:i/>
          <w:sz w:val="22"/>
          <w:szCs w:val="22"/>
        </w:rPr>
        <w:t xml:space="preserve"> marzo 2022</w:t>
      </w:r>
      <w:r w:rsidRPr="00063D66">
        <w:rPr>
          <w:rFonts w:ascii="Verdana" w:hAnsi="Verdana"/>
          <w:sz w:val="22"/>
          <w:szCs w:val="22"/>
        </w:rPr>
        <w:t xml:space="preserve"> </w:t>
      </w:r>
      <w:r w:rsidR="00B6286E" w:rsidRPr="00063D66">
        <w:rPr>
          <w:rFonts w:ascii="Verdana" w:hAnsi="Verdana"/>
          <w:sz w:val="22"/>
          <w:szCs w:val="22"/>
        </w:rPr>
        <w:t>–</w:t>
      </w:r>
      <w:r w:rsidR="002C6AD9">
        <w:rPr>
          <w:rFonts w:ascii="Verdana" w:hAnsi="Verdana"/>
          <w:sz w:val="22"/>
          <w:szCs w:val="22"/>
        </w:rPr>
        <w:t>H</w:t>
      </w:r>
      <w:r w:rsidR="002C6AD9" w:rsidRPr="002C6AD9">
        <w:rPr>
          <w:rFonts w:ascii="Verdana" w:hAnsi="Verdana"/>
          <w:sz w:val="22"/>
          <w:szCs w:val="22"/>
        </w:rPr>
        <w:t>anno superato i 4,5 miliardi di euro, segnando una crescita del +15,3% rispetto al 2020 (600 milioni in più)</w:t>
      </w:r>
      <w:r w:rsidR="002C6AD9">
        <w:rPr>
          <w:rFonts w:ascii="Verdana" w:hAnsi="Verdana"/>
          <w:sz w:val="22"/>
          <w:szCs w:val="22"/>
        </w:rPr>
        <w:t xml:space="preserve"> </w:t>
      </w:r>
      <w:r w:rsidR="002C6AD9" w:rsidRPr="002C6AD9">
        <w:rPr>
          <w:rFonts w:ascii="Verdana" w:hAnsi="Verdana"/>
          <w:sz w:val="22"/>
          <w:szCs w:val="22"/>
        </w:rPr>
        <w:t>le vendite all’estero dalla provincia di Lucca</w:t>
      </w:r>
      <w:r w:rsidR="002C6AD9">
        <w:rPr>
          <w:rFonts w:ascii="Verdana" w:hAnsi="Verdana"/>
          <w:sz w:val="22"/>
          <w:szCs w:val="22"/>
        </w:rPr>
        <w:t xml:space="preserve"> registrate ne</w:t>
      </w:r>
      <w:r w:rsidR="002C6AD9" w:rsidRPr="002C6AD9">
        <w:rPr>
          <w:rFonts w:ascii="Verdana" w:hAnsi="Verdana"/>
          <w:sz w:val="22"/>
          <w:szCs w:val="22"/>
        </w:rPr>
        <w:t>l 2021.</w:t>
      </w:r>
      <w:r w:rsidR="002C6AD9">
        <w:rPr>
          <w:rFonts w:ascii="Verdana" w:hAnsi="Verdana"/>
          <w:sz w:val="22"/>
          <w:szCs w:val="22"/>
        </w:rPr>
        <w:t>In particolare, si evidenzia che l</w:t>
      </w:r>
      <w:r w:rsidR="002C6AD9" w:rsidRPr="002C6AD9">
        <w:rPr>
          <w:rFonts w:ascii="Verdana" w:hAnsi="Verdana"/>
          <w:sz w:val="22"/>
          <w:szCs w:val="22"/>
        </w:rPr>
        <w:t>a dinamica con un aumento del +8,3% su base annua sostenuto dal commercio con i paesi dell’area UE</w:t>
      </w:r>
      <w:r w:rsidR="002C6AD9">
        <w:rPr>
          <w:rFonts w:ascii="Verdana" w:hAnsi="Verdana"/>
          <w:sz w:val="22"/>
          <w:szCs w:val="22"/>
        </w:rPr>
        <w:t xml:space="preserve"> </w:t>
      </w:r>
      <w:r w:rsidR="002C6AD9" w:rsidRPr="002C6AD9">
        <w:rPr>
          <w:rFonts w:ascii="Verdana" w:hAnsi="Verdana"/>
          <w:sz w:val="22"/>
          <w:szCs w:val="22"/>
        </w:rPr>
        <w:t>positiva nel quarto trimestre dell’anno.</w:t>
      </w:r>
    </w:p>
    <w:p w14:paraId="6179F105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In Italia l’incremento delle esportazioni nell’anno ha toccato il +18,2% e in Toscana ha raggiunto il +16,8%, un rimbalzo legato al recupero delle elevate flessioni registrate da molti territori nel 2020, quando Lucca aveva invece contenuto le perdite.</w:t>
      </w:r>
    </w:p>
    <w:p w14:paraId="1E203F9C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Il risultato rilevato per Lucca risulta a ogni modo superiore anche a quanto registrato nel 2019, anno rispetto al quale le esportazioni risultano più elevate del 10,4% (+423 milioni), come quelle toscane, mentre quelle nazionali del 7,5%.</w:t>
      </w:r>
    </w:p>
    <w:p w14:paraId="563501A3" w14:textId="4AB7125C" w:rsid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 xml:space="preserve">L’import della provincia di Lucca nel 2021 è aumentato del +19,7% rispetto al 2020, attestandosi a 2.122 milioni di euro; la dinamica risulta in crescita anche a livello toscano (+6,1%, influenzata dai metalli preziosi) e nazionale (+24,8%). </w:t>
      </w:r>
    </w:p>
    <w:p w14:paraId="6C4830A1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</w:p>
    <w:p w14:paraId="4A8CAC5F" w14:textId="51AB0B2F" w:rsidR="002C6AD9" w:rsidRDefault="002C6AD9" w:rsidP="002C6A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Pr="002C6AD9">
        <w:rPr>
          <w:rFonts w:ascii="Verdana" w:hAnsi="Verdana"/>
          <w:sz w:val="22"/>
          <w:szCs w:val="22"/>
        </w:rPr>
        <w:t xml:space="preserve">La crescita è </w:t>
      </w:r>
      <w:r w:rsidR="00154937">
        <w:rPr>
          <w:rFonts w:ascii="Verdana" w:hAnsi="Verdana"/>
          <w:sz w:val="22"/>
          <w:szCs w:val="22"/>
        </w:rPr>
        <w:t>purtroppo dovuta</w:t>
      </w:r>
      <w:r>
        <w:rPr>
          <w:rFonts w:ascii="Verdana" w:hAnsi="Verdana"/>
          <w:sz w:val="22"/>
          <w:szCs w:val="22"/>
        </w:rPr>
        <w:t xml:space="preserve"> – ha sottolineato </w:t>
      </w:r>
      <w:r w:rsidRPr="002C6AD9">
        <w:rPr>
          <w:rFonts w:ascii="Verdana" w:hAnsi="Verdana"/>
          <w:b/>
          <w:bCs/>
          <w:sz w:val="22"/>
          <w:szCs w:val="22"/>
        </w:rPr>
        <w:t>Giorgio Bartoli</w:t>
      </w:r>
      <w:r>
        <w:rPr>
          <w:rFonts w:ascii="Verdana" w:hAnsi="Verdana"/>
          <w:sz w:val="22"/>
          <w:szCs w:val="22"/>
        </w:rPr>
        <w:t xml:space="preserve">, Commissario straordinario della Camera di commercio di Lucca - </w:t>
      </w:r>
      <w:r w:rsidRPr="002C6AD9">
        <w:rPr>
          <w:rFonts w:ascii="Verdana" w:hAnsi="Verdana"/>
          <w:sz w:val="22"/>
          <w:szCs w:val="22"/>
        </w:rPr>
        <w:t>dal forte incremento rilevato soprattutto nel quarto trimestre, quando il valore degli acquisti dall’estero della provincia è salito del +37,9%, spinto dai forti rincari dei prodotti energetici e delle materie prime avvenuti a partire dalla seconda metà dell’anno, e del loro conseguente trasferimento sulle filiere produttive.</w:t>
      </w:r>
      <w:r>
        <w:rPr>
          <w:rFonts w:ascii="Verdana" w:hAnsi="Verdana"/>
          <w:sz w:val="22"/>
          <w:szCs w:val="22"/>
        </w:rPr>
        <w:t>”</w:t>
      </w:r>
    </w:p>
    <w:p w14:paraId="1A482AA3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</w:p>
    <w:p w14:paraId="11BD9068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A livello nazionale ISTAT ha rilevato un aumento dei prezzi all’import del +9,0% in media d’anno (l’incremento più elevato dal 2005, ossia da quando è disponibile la serie storica dell’indice) con un massimo del +15,6% su base annua a dicembre; al netto dell’energia, i prezzi sono aumentati del +4,7% in media d’anno e del +8,7% a dicembre.</w:t>
      </w:r>
    </w:p>
    <w:p w14:paraId="30599BBB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Il rialzo del prezzo del gas e dell’energia elettrica, in forte accelerazione dal secondo semestre 2021 e adesso su livelli insostenibili, sta inducendo le imprese dei settori energy-intensive a programmare sospensioni temporanee della produzione per non lavorare in perdita. Si tratta infatti di una variabile fuori dal controllo delle imprese, così come anche il prezzo delle materie prime e dei prodotti petroliferi, che incide direttamente sui costi di produzione e indirettamente su quelli di trasporto, determinando aumenti di proporzioni tali da minare la sostenibilità delle produzioni.</w:t>
      </w:r>
    </w:p>
    <w:p w14:paraId="78B82661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Lo scoppio della guerra in Ucraina ha poi reso ancora più incerte le prospettive, già provate dalla pandemia: sebbene nel complesso gli scambi commerciali diretti tra la provincia di Lucca e Russia e Ucraina negli ultimi anni non siano risultati particolarmente intensi, il protrarsi del conflitto potrebbe mettere in difficoltà alcune singole imprese particolarmente esposte su quei mercati, o con un legame anche solo indiretto con gli stessi, a causa del blocco degli scambi o dei pagamenti sui contratti in corso. Oltre a generare tensioni ancora maggiori sul mercato dell’energia.</w:t>
      </w:r>
    </w:p>
    <w:p w14:paraId="4BA54216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 xml:space="preserve">A livello settoriale la cantieristica nautica è risultato il primo settore provinciale per export, con vendite di natanti per 927 milioni di euro nell’anno, in crescita del +36,7% rispetto al 2020. L’industria della carta e cartotecnica ha venduto all’estero merci per un valore di 914 milioni di euro, registrando un calo marginale (-0,3%); nel dettaglio, le vendite all’estero di pasta da carta, carta e cartone sono cresciute del +10,8% mentre quelle di articoli di carta e di cartone sono diminuite del -7,6%. L’industria meccanica, terzo settore </w:t>
      </w:r>
      <w:r w:rsidRPr="002C6AD9">
        <w:rPr>
          <w:rFonts w:ascii="Verdana" w:hAnsi="Verdana"/>
          <w:sz w:val="22"/>
          <w:szCs w:val="22"/>
        </w:rPr>
        <w:lastRenderedPageBreak/>
        <w:t>provinciale per export con 875 milioni di euro nei dodici mesi, ha messo a segno un +15,5% sul 2020, con le vendite di macchine per impieghi speciali (625 milioni) salite del +15,4%.</w:t>
      </w:r>
    </w:p>
    <w:p w14:paraId="1DE520BC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 xml:space="preserve">In forte crescita le vendite della fabbricazione di materiale elettrico e meccanica di precisione (404 milioni; +40,4%) e dell’industria metallurgica (356 milioni; +43,8%). In linea con il 2020 l’alimentare e tabacco (303 milioni; +0,1%) con le vendite di oli di oliva, semi, etc. in lieve diminuzione (-3,3%). </w:t>
      </w:r>
    </w:p>
    <w:p w14:paraId="7A257E7F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L’export dell’industria lapidea, del vetro e delle pietre estratte (150 milioni) ha recuperato l’8,7% rispetto al 2020, e sono cresciute anche la gomma e plastica (116 milioni; +12,3%), i prodotti del cuoio e calzature (112 milioni; +6,3%) e il tessile e abbigliamento (66 milioni; +8,8%). L’industria chimica, delle vernici e farmaceutica (126 milioni) ha invece perso il -34,0% per la flessione dell’export di prodotti farmaceutici (-47,8%).</w:t>
      </w:r>
    </w:p>
    <w:p w14:paraId="0B72C2CE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L’aumento dell’export provinciale ha interessato particolarmente l’Europa, che ha superato i 2,7 miliardi di euro segnando un +16,1% rispetto al 2020; le vendite verso l’Area UE27 (post Brexit) sono salite del +16,2% e quelle verso l’area extra-UE27 del +15,9%. In tale ambito, le esportazioni verso la Russia hanno superato i 60 milioni di euro nell’anno, l’1,3% del totale export, mentre quelle verso l’Ucraina i 7,3 milioni (0,2%).</w:t>
      </w:r>
    </w:p>
    <w:p w14:paraId="4CA80545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Le vendite verso il continente americano sono incrementate di un modesto +0,7%, frenate dal lieve calo dell’America settentrionale (-0,9%) mentre l’America centro-meridionale è salita del +2,3%. Sono cresciute anche le esportazioni verso Asia (+9,3%), Africa (+4,1%) e Oceania.</w:t>
      </w:r>
    </w:p>
    <w:p w14:paraId="64DEF6E4" w14:textId="77777777" w:rsidR="002C6AD9" w:rsidRPr="002C6AD9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Il forte aumento delle importazioni provinciali nell’anno (+19,7%) è stato spinto da incrementi che hanno interessato quasi tutte le industrie: la carta e cartotecnica (589 milioni; +14,7% nell’anno) ha rilevato un incremento del +43,1% nel trimestre ottobre-dicembre, l’industria chimica, delle vernici e farmaceutica (356 milioni; +21,9%) un +57,6% nel trimestre. In aumento anche gli acquisti per l’industria alimentare e del tabacco (252 milioni; +13,3%), l'industria metallurgica (220 milioni; +18,1%) e la meccanica (200 milioni; +26,9%); segno più anche per la fabbricazione di materiale elettrico e meccanica di precisione (+21,0%), il cuoio e calzature (+1,5%), la gomma e plastica (+16,3%) e i prodotti agricoli (+26,0%). È diminuito invece il valore degli acquisti dall’estero del tessile e abbigliamento (47 milioni; -12,2%) e del lapideo (-1,5%).</w:t>
      </w:r>
    </w:p>
    <w:p w14:paraId="6AFC0484" w14:textId="4EFE861A" w:rsidR="007C6D77" w:rsidRDefault="002C6AD9" w:rsidP="002C6AD9">
      <w:pPr>
        <w:jc w:val="both"/>
        <w:rPr>
          <w:rFonts w:ascii="Verdana" w:hAnsi="Verdana"/>
          <w:sz w:val="22"/>
          <w:szCs w:val="22"/>
        </w:rPr>
      </w:pPr>
      <w:r w:rsidRPr="002C6AD9">
        <w:rPr>
          <w:rFonts w:ascii="Verdana" w:hAnsi="Verdana"/>
          <w:sz w:val="22"/>
          <w:szCs w:val="22"/>
        </w:rPr>
        <w:t>Gli acquisti dall’estero sono cresciuti sia dall’Europa (+28,6%), grazie all’aumento dalle aree UE27 (+28,9%) ed extra-UE27 (+24,0%), che dall’Asia (+24,1%) e dall’America centro-meridionale (+14,1%); sono diminuiti invece quelli dall’America settentrionale (-16,8%) e da Africa (-35,6%) e Oceania. Gli acquisti dalla Russia hanno toccato i 6,5 milioni di euro (0,3% dell’import provinciale), quelli dall’Ucraina i 4,5 milioni di euro (0,2% del totale).</w:t>
      </w:r>
    </w:p>
    <w:p w14:paraId="156B7754" w14:textId="1DE927A0" w:rsidR="002C6AD9" w:rsidRDefault="002C6AD9" w:rsidP="002C6AD9">
      <w:pPr>
        <w:jc w:val="both"/>
        <w:rPr>
          <w:rFonts w:ascii="Verdana" w:hAnsi="Verdana"/>
        </w:rPr>
      </w:pPr>
    </w:p>
    <w:p w14:paraId="14A1E172" w14:textId="21528E5C" w:rsidR="002C6AD9" w:rsidRDefault="002C6AD9" w:rsidP="002C6AD9">
      <w:pPr>
        <w:jc w:val="both"/>
        <w:rPr>
          <w:rFonts w:ascii="Verdana" w:hAnsi="Verdana"/>
        </w:rPr>
      </w:pPr>
    </w:p>
    <w:p w14:paraId="772C1EE2" w14:textId="72A9BE88" w:rsidR="002C6AD9" w:rsidRDefault="002C6AD9" w:rsidP="002C6AD9">
      <w:pPr>
        <w:jc w:val="both"/>
        <w:rPr>
          <w:rFonts w:ascii="Verdana" w:hAnsi="Verdana"/>
        </w:rPr>
      </w:pPr>
    </w:p>
    <w:p w14:paraId="74FF601D" w14:textId="71340E3C" w:rsidR="002C6AD9" w:rsidRPr="002C6AD9" w:rsidRDefault="002C6AD9" w:rsidP="002C6AD9">
      <w:pPr>
        <w:jc w:val="both"/>
        <w:rPr>
          <w:rFonts w:ascii="Verdana" w:hAnsi="Verdana"/>
          <w:b/>
          <w:bCs/>
        </w:rPr>
      </w:pPr>
      <w:r w:rsidRPr="002C6AD9">
        <w:rPr>
          <w:rFonts w:ascii="Verdana" w:hAnsi="Verdana"/>
          <w:b/>
          <w:bCs/>
        </w:rPr>
        <w:t>In allegato le tabelle</w:t>
      </w:r>
    </w:p>
    <w:p w14:paraId="07C0953E" w14:textId="022A1723" w:rsidR="002C6AD9" w:rsidRPr="002C6AD9" w:rsidRDefault="002C6AD9" w:rsidP="002C6AD9">
      <w:pPr>
        <w:jc w:val="both"/>
        <w:rPr>
          <w:rFonts w:ascii="Verdana" w:hAnsi="Verdana"/>
          <w:b/>
          <w:bCs/>
        </w:rPr>
      </w:pPr>
    </w:p>
    <w:p w14:paraId="23C64241" w14:textId="77777777" w:rsidR="002C6AD9" w:rsidRDefault="002C6AD9" w:rsidP="002C6AD9">
      <w:pPr>
        <w:jc w:val="both"/>
        <w:rPr>
          <w:rFonts w:ascii="Verdana" w:hAnsi="Verdana"/>
        </w:rPr>
      </w:pPr>
    </w:p>
    <w:p w14:paraId="2EC34F21" w14:textId="77777777" w:rsidR="007C6D77" w:rsidRPr="00C31339" w:rsidRDefault="007C6D77">
      <w:pPr>
        <w:jc w:val="both"/>
        <w:rPr>
          <w:rFonts w:ascii="Verdana" w:hAnsi="Verdana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 w:rsidTr="002C6AD9">
        <w:trPr>
          <w:trHeight w:val="680"/>
        </w:trPr>
        <w:tc>
          <w:tcPr>
            <w:tcW w:w="6013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56CD89DC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62EAD8A" w14:textId="092B9952" w:rsidR="002C6AD9" w:rsidRDefault="008B0CD2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Iscr. Ordine pubblicisti Regione Toscana</w:t>
            </w: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n. 176178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Tel. +39 0583 976.686 - cell.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154937">
            <w:pPr>
              <w:jc w:val="right"/>
            </w:pPr>
            <w:hyperlink r:id="rId7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50459B" w14:textId="77777777" w:rsidR="002C6AD9" w:rsidRDefault="002C6AD9" w:rsidP="002C6AD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28AF5B8" w14:textId="77777777" w:rsidR="002C6AD9" w:rsidRDefault="002C6AD9" w:rsidP="002C6AD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8016657" w14:textId="77777777" w:rsidR="002C6AD9" w:rsidRDefault="002C6AD9" w:rsidP="002C6AD9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0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6"/>
        <w:gridCol w:w="1492"/>
        <w:gridCol w:w="1492"/>
        <w:gridCol w:w="1519"/>
        <w:gridCol w:w="8"/>
        <w:gridCol w:w="1751"/>
        <w:gridCol w:w="8"/>
        <w:gridCol w:w="138"/>
        <w:gridCol w:w="8"/>
      </w:tblGrid>
      <w:tr w:rsidR="002C6AD9" w:rsidRPr="00A42FF6" w14:paraId="68BACF3A" w14:textId="77777777" w:rsidTr="007531AD">
        <w:trPr>
          <w:gridAfter w:val="3"/>
          <w:wAfter w:w="154" w:type="dxa"/>
          <w:trHeight w:val="270"/>
        </w:trPr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F4E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A1:F38"/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Esportazioni della provincia di Lucca per i principali settori e prodotti. </w:t>
            </w:r>
            <w:bookmarkEnd w:id="0"/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Anni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-2021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3C28" w14:textId="77777777" w:rsidR="002C6AD9" w:rsidRPr="00A42FF6" w:rsidRDefault="002C6AD9" w:rsidP="007531AD"/>
        </w:tc>
      </w:tr>
      <w:tr w:rsidR="002C6AD9" w:rsidRPr="00A42FF6" w14:paraId="6FB8E0C7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CD848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Valori assoluti in euro e variazioni %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237CB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34754" w14:textId="77777777" w:rsidR="002C6AD9" w:rsidRPr="00A42FF6" w:rsidRDefault="002C6AD9" w:rsidP="007531AD"/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44087" w14:textId="77777777" w:rsidR="002C6AD9" w:rsidRPr="00A42FF6" w:rsidRDefault="002C6AD9" w:rsidP="007531AD"/>
        </w:tc>
        <w:tc>
          <w:tcPr>
            <w:tcW w:w="1759" w:type="dxa"/>
            <w:gridSpan w:val="2"/>
            <w:vAlign w:val="center"/>
            <w:hideMark/>
          </w:tcPr>
          <w:p w14:paraId="058C3AD0" w14:textId="77777777" w:rsidR="002C6AD9" w:rsidRPr="00A42FF6" w:rsidRDefault="002C6AD9" w:rsidP="007531AD"/>
        </w:tc>
      </w:tr>
      <w:tr w:rsidR="002C6AD9" w:rsidRPr="00A42FF6" w14:paraId="20000CC5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2941A5F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EXPORT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26C46D87" w14:textId="77777777" w:rsidR="002C6AD9" w:rsidRPr="00A42FF6" w:rsidRDefault="002C6AD9" w:rsidP="007531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Valori assoluti in euro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8AAA4AA" w14:textId="77777777" w:rsidR="002C6AD9" w:rsidRPr="00A42FF6" w:rsidRDefault="002C6AD9" w:rsidP="007531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Var. % anno 2021/2020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57BF8AF" w14:textId="77777777" w:rsidR="002C6AD9" w:rsidRPr="00A42FF6" w:rsidRDefault="002C6AD9" w:rsidP="007531AD"/>
        </w:tc>
      </w:tr>
      <w:tr w:rsidR="002C6AD9" w:rsidRPr="00A42FF6" w14:paraId="5108666C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A813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D9AB7D1" w14:textId="77777777" w:rsidR="002C6AD9" w:rsidRPr="00A42FF6" w:rsidRDefault="002C6AD9" w:rsidP="007531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Anno 2020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38AC1BE" w14:textId="77777777" w:rsidR="002C6AD9" w:rsidRPr="00A42FF6" w:rsidRDefault="002C6AD9" w:rsidP="007531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Anno 2021</w:t>
            </w: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5051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E111967" w14:textId="77777777" w:rsidR="002C6AD9" w:rsidRPr="00A42FF6" w:rsidRDefault="002C6AD9" w:rsidP="007531AD"/>
        </w:tc>
      </w:tr>
      <w:tr w:rsidR="002C6AD9" w:rsidRPr="00A42FF6" w14:paraId="5A59AD87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4A4E2D8D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Cantieristica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65EC7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677.870.957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C8F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926.737.768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83C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36,7%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2DBA2CE9" w14:textId="77777777" w:rsidR="002C6AD9" w:rsidRPr="00A42FF6" w:rsidRDefault="002C6AD9" w:rsidP="007531AD"/>
        </w:tc>
      </w:tr>
      <w:tr w:rsidR="002C6AD9" w:rsidRPr="00A42FF6" w14:paraId="17EB6D05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3D62E770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Carta e cartotecnica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593E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916.838.687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9AB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914.469.740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7F93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-0,3%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2F0618A0" w14:textId="77777777" w:rsidR="002C6AD9" w:rsidRPr="00A42FF6" w:rsidRDefault="002C6AD9" w:rsidP="007531AD"/>
        </w:tc>
      </w:tr>
      <w:tr w:rsidR="002C6AD9" w:rsidRPr="00A42FF6" w14:paraId="5E6B2351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3DC229D0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Pasta da carta, carta e cartone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AF7F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366.535.599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8BA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406.137.887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0F4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10,8%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091DFC77" w14:textId="77777777" w:rsidR="002C6AD9" w:rsidRPr="00A42FF6" w:rsidRDefault="002C6AD9" w:rsidP="007531AD"/>
        </w:tc>
      </w:tr>
      <w:tr w:rsidR="002C6AD9" w:rsidRPr="00A42FF6" w14:paraId="2764F457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4F36BC35" w14:textId="77777777" w:rsidR="002C6AD9" w:rsidRPr="00A42FF6" w:rsidRDefault="002C6AD9" w:rsidP="007531AD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Articoli di carta e di cartone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18A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550.303.088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2A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508.331.853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166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-7,6%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179E1A55" w14:textId="77777777" w:rsidR="002C6AD9" w:rsidRPr="00A42FF6" w:rsidRDefault="002C6AD9" w:rsidP="007531AD"/>
        </w:tc>
      </w:tr>
      <w:tr w:rsidR="002C6AD9" w:rsidRPr="00A42FF6" w14:paraId="7D523833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66FE6FB1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Meccanica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FBB1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757.744.022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F00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875.281.015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08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15,5%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40B510CC" w14:textId="77777777" w:rsidR="002C6AD9" w:rsidRPr="00A42FF6" w:rsidRDefault="002C6AD9" w:rsidP="007531AD"/>
        </w:tc>
      </w:tr>
      <w:tr w:rsidR="002C6AD9" w:rsidRPr="00A42FF6" w14:paraId="78C1CB40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5642F16A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Macchine per impieghi speciali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722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542.195.547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53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625.440.676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F4A2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15,4%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14B4D7A7" w14:textId="77777777" w:rsidR="002C6AD9" w:rsidRPr="00A42FF6" w:rsidRDefault="002C6AD9" w:rsidP="007531AD"/>
        </w:tc>
      </w:tr>
      <w:tr w:rsidR="002C6AD9" w:rsidRPr="00A42FF6" w14:paraId="42B68335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3D9F4F2F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Fabbric. mat. elettrico e mecc. di precisione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D9E82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287.315.602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24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403.517.735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FBF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40,4%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77599503" w14:textId="77777777" w:rsidR="002C6AD9" w:rsidRPr="00A42FF6" w:rsidRDefault="002C6AD9" w:rsidP="007531AD"/>
        </w:tc>
      </w:tr>
      <w:tr w:rsidR="002C6AD9" w:rsidRPr="00A42FF6" w14:paraId="079F33AB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vAlign w:val="bottom"/>
            <w:hideMark/>
          </w:tcPr>
          <w:p w14:paraId="6ED4707A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Metallurgica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BEB8F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247.485.717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B4E1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355.918.455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CCB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43,8%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735E66EB" w14:textId="77777777" w:rsidR="002C6AD9" w:rsidRPr="00A42FF6" w:rsidRDefault="002C6AD9" w:rsidP="007531AD"/>
        </w:tc>
      </w:tr>
      <w:tr w:rsidR="002C6AD9" w:rsidRPr="00A42FF6" w14:paraId="1BFD27F6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018DE8FD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Rame ed altri minerali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FD86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178.668.688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8F04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277.730.602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3AF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55,4%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6A10A7AB" w14:textId="77777777" w:rsidR="002C6AD9" w:rsidRPr="00A42FF6" w:rsidRDefault="002C6AD9" w:rsidP="007531AD"/>
        </w:tc>
      </w:tr>
      <w:tr w:rsidR="002C6AD9" w:rsidRPr="00A42FF6" w14:paraId="5F41C6CC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59F2D4DE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Alimentari e tabacco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D33F2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302.906.734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8F2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303.157.294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4A8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0,1%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05EC8F4A" w14:textId="77777777" w:rsidR="002C6AD9" w:rsidRPr="00A42FF6" w:rsidRDefault="002C6AD9" w:rsidP="007531AD"/>
        </w:tc>
      </w:tr>
      <w:tr w:rsidR="002C6AD9" w:rsidRPr="00A42FF6" w14:paraId="2B6829E5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797473CC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 cui   Olio di oliva, di semi, etc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B445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225.519.809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480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218.094.417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CB2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-3,3%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756B2B47" w14:textId="77777777" w:rsidR="002C6AD9" w:rsidRPr="00A42FF6" w:rsidRDefault="002C6AD9" w:rsidP="007531AD"/>
        </w:tc>
      </w:tr>
      <w:tr w:rsidR="002C6AD9" w:rsidRPr="00A42FF6" w14:paraId="11C44F68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vAlign w:val="bottom"/>
            <w:hideMark/>
          </w:tcPr>
          <w:p w14:paraId="561C0DA2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Lapidea, del Vetro, Pietre estr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3D8B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138.210.795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EA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150.175.278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C54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8,7%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2895B16C" w14:textId="77777777" w:rsidR="002C6AD9" w:rsidRPr="00A42FF6" w:rsidRDefault="002C6AD9" w:rsidP="007531AD"/>
        </w:tc>
      </w:tr>
      <w:tr w:rsidR="002C6AD9" w:rsidRPr="00A42FF6" w14:paraId="6DDD7C3E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33271416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Ind. Lapidea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A588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93.837.618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DFE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93.061.335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5971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-0,8%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27B535CB" w14:textId="77777777" w:rsidR="002C6AD9" w:rsidRPr="00A42FF6" w:rsidRDefault="002C6AD9" w:rsidP="007531AD"/>
        </w:tc>
      </w:tr>
      <w:tr w:rsidR="002C6AD9" w:rsidRPr="00A42FF6" w14:paraId="7E8D7793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64F44C02" w14:textId="77777777" w:rsidR="002C6AD9" w:rsidRPr="00A42FF6" w:rsidRDefault="002C6AD9" w:rsidP="007531AD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Pietre estratte sabbia argilla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E1B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28.998.290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08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33.272.383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03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14,7%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4B1BA4C8" w14:textId="77777777" w:rsidR="002C6AD9" w:rsidRPr="00A42FF6" w:rsidRDefault="002C6AD9" w:rsidP="007531AD"/>
        </w:tc>
      </w:tr>
      <w:tr w:rsidR="002C6AD9" w:rsidRPr="00A42FF6" w14:paraId="0AA10C9B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14314A53" w14:textId="77777777" w:rsidR="002C6AD9" w:rsidRPr="00A42FF6" w:rsidRDefault="002C6AD9" w:rsidP="007531AD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Ind. del vetro, mat. costruzione etc.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18CF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15.374.887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20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23.841.560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94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55,1%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488753A7" w14:textId="77777777" w:rsidR="002C6AD9" w:rsidRPr="00A42FF6" w:rsidRDefault="002C6AD9" w:rsidP="007531AD"/>
        </w:tc>
      </w:tr>
      <w:tr w:rsidR="002C6AD9" w:rsidRPr="00A42FF6" w14:paraId="3BB379E9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5F6D4F1A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Chimica e delle vernici e farmac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eutica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08C81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190.959.293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3EE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126.079.845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F2E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-34,0%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4D7925FF" w14:textId="77777777" w:rsidR="002C6AD9" w:rsidRPr="00A42FF6" w:rsidRDefault="002C6AD9" w:rsidP="007531AD"/>
        </w:tc>
      </w:tr>
      <w:tr w:rsidR="002C6AD9" w:rsidRPr="00A42FF6" w14:paraId="46BFFD8F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6F58A40D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Farmaceutic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80B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152.281.123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E80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79.491.455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210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-47,8%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60340566" w14:textId="77777777" w:rsidR="002C6AD9" w:rsidRPr="00A42FF6" w:rsidRDefault="002C6AD9" w:rsidP="007531AD"/>
        </w:tc>
      </w:tr>
      <w:tr w:rsidR="002C6AD9" w:rsidRPr="00A42FF6" w14:paraId="4229BD89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4E6F392E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Gomma e Plastica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17893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103.534.814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513B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116.244.538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641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12,3%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3A5AA2F1" w14:textId="77777777" w:rsidR="002C6AD9" w:rsidRPr="00A42FF6" w:rsidRDefault="002C6AD9" w:rsidP="007531AD"/>
        </w:tc>
      </w:tr>
      <w:tr w:rsidR="002C6AD9" w:rsidRPr="00A42FF6" w14:paraId="2C82D215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5658FD45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Cuoio e Calzature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2B5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105.635.606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CD2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112.256.507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C8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6,3%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17F4FC61" w14:textId="77777777" w:rsidR="002C6AD9" w:rsidRPr="00A42FF6" w:rsidRDefault="002C6AD9" w:rsidP="007531AD"/>
        </w:tc>
      </w:tr>
      <w:tr w:rsidR="002C6AD9" w:rsidRPr="00A42FF6" w14:paraId="7F546452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31C235FD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Ind. delle Calzature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DF3E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80.466.027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488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86.121.764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F63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7,0%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5B26ECB9" w14:textId="77777777" w:rsidR="002C6AD9" w:rsidRPr="00A42FF6" w:rsidRDefault="002C6AD9" w:rsidP="007531AD"/>
        </w:tc>
      </w:tr>
      <w:tr w:rsidR="002C6AD9" w:rsidRPr="00A42FF6" w14:paraId="54CB5B05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6399AC4D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Tessile e Abbigliamento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F26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60.267.873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E02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65.558.129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C12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8,8%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46A8CCF3" w14:textId="77777777" w:rsidR="002C6AD9" w:rsidRPr="00A42FF6" w:rsidRDefault="002C6AD9" w:rsidP="007531AD"/>
        </w:tc>
      </w:tr>
      <w:tr w:rsidR="002C6AD9" w:rsidRPr="00A42FF6" w14:paraId="57DAC0AC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186FB95E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 Filati per cucire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709D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10.861.910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3E6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11.672.921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41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7,5%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6F743323" w14:textId="77777777" w:rsidR="002C6AD9" w:rsidRPr="00A42FF6" w:rsidRDefault="002C6AD9" w:rsidP="007531AD"/>
        </w:tc>
      </w:tr>
      <w:tr w:rsidR="002C6AD9" w:rsidRPr="00A42FF6" w14:paraId="27166E2F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7E1E632B" w14:textId="77777777" w:rsidR="002C6AD9" w:rsidRPr="00A42FF6" w:rsidRDefault="002C6AD9" w:rsidP="007531AD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Articoli a maglia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F5CE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8.704.235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2CE4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10.925.129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D00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25,5%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47A52F5A" w14:textId="77777777" w:rsidR="002C6AD9" w:rsidRPr="00A42FF6" w:rsidRDefault="002C6AD9" w:rsidP="007531AD"/>
        </w:tc>
      </w:tr>
      <w:tr w:rsidR="002C6AD9" w:rsidRPr="00A42FF6" w14:paraId="01F63034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228DB66D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Articoli di abbigliamento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33A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40.701.728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FD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42.960.079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F6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5,5%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0F7E790A" w14:textId="77777777" w:rsidR="002C6AD9" w:rsidRPr="00A42FF6" w:rsidRDefault="002C6AD9" w:rsidP="007531AD"/>
        </w:tc>
      </w:tr>
      <w:tr w:rsidR="002C6AD9" w:rsidRPr="00A42FF6" w14:paraId="654AB1A6" w14:textId="77777777" w:rsidTr="007531AD">
        <w:trPr>
          <w:gridAfter w:val="3"/>
          <w:wAfter w:w="154" w:type="dxa"/>
          <w:trHeight w:val="24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5CA3FDE0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Altre attività economiche (1)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630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120.902.513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D10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160.364.982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A5B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32,6%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1C50DD68" w14:textId="77777777" w:rsidR="002C6AD9" w:rsidRPr="00A42FF6" w:rsidRDefault="002C6AD9" w:rsidP="007531AD"/>
        </w:tc>
      </w:tr>
      <w:tr w:rsidR="002C6AD9" w:rsidRPr="00A42FF6" w14:paraId="2E317169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nil"/>
            </w:tcBorders>
            <w:shd w:val="clear" w:color="000000" w:fill="CCCCFF"/>
            <w:noWrap/>
            <w:vAlign w:val="bottom"/>
            <w:hideMark/>
          </w:tcPr>
          <w:p w14:paraId="7D8E2975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TOTALE PROVINCIA LUCCA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1D96CE2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3.909.672.613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2EBD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4.509.761.286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EC431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15,3%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110955E8" w14:textId="77777777" w:rsidR="002C6AD9" w:rsidRPr="00A42FF6" w:rsidRDefault="002C6AD9" w:rsidP="007531AD"/>
        </w:tc>
      </w:tr>
      <w:tr w:rsidR="002C6AD9" w:rsidRPr="00A42FF6" w14:paraId="29374602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333399"/>
              <w:right w:val="single" w:sz="4" w:space="0" w:color="333399"/>
            </w:tcBorders>
            <w:shd w:val="clear" w:color="000000" w:fill="CCCCFF"/>
            <w:noWrap/>
            <w:vAlign w:val="bottom"/>
            <w:hideMark/>
          </w:tcPr>
          <w:p w14:paraId="39D8919A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TOTALE TOSCANA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568D3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40.839.947.632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49A1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47.720.096.555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89B7B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16,8%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7F8194D2" w14:textId="77777777" w:rsidR="002C6AD9" w:rsidRPr="00A42FF6" w:rsidRDefault="002C6AD9" w:rsidP="007531AD"/>
        </w:tc>
      </w:tr>
      <w:tr w:rsidR="002C6AD9" w:rsidRPr="00A42FF6" w14:paraId="08EC2A0F" w14:textId="77777777" w:rsidTr="007531AD">
        <w:trPr>
          <w:gridAfter w:val="3"/>
          <w:wAfter w:w="154" w:type="dxa"/>
          <w:trHeight w:val="270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99"/>
            </w:tcBorders>
            <w:shd w:val="clear" w:color="000000" w:fill="CCCCFF"/>
            <w:noWrap/>
            <w:vAlign w:val="bottom"/>
            <w:hideMark/>
          </w:tcPr>
          <w:p w14:paraId="48858F2C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TOTALE ITALIA</w:t>
            </w:r>
          </w:p>
        </w:tc>
        <w:tc>
          <w:tcPr>
            <w:tcW w:w="1492" w:type="dxa"/>
            <w:tcBorders>
              <w:top w:val="nil"/>
              <w:left w:val="single" w:sz="4" w:space="0" w:color="333399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D259A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436.717.838.010</w:t>
            </w:r>
          </w:p>
        </w:tc>
        <w:tc>
          <w:tcPr>
            <w:tcW w:w="1492" w:type="dxa"/>
            <w:tcBorders>
              <w:top w:val="nil"/>
              <w:left w:val="single" w:sz="4" w:space="0" w:color="333399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6779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516.261.753.609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6DBD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18,2%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98C5D83" w14:textId="77777777" w:rsidR="002C6AD9" w:rsidRPr="00A42FF6" w:rsidRDefault="002C6AD9" w:rsidP="007531AD"/>
        </w:tc>
      </w:tr>
      <w:tr w:rsidR="002C6AD9" w:rsidRPr="00A42FF6" w14:paraId="591BE3BA" w14:textId="77777777" w:rsidTr="007531AD">
        <w:trPr>
          <w:trHeight w:val="270"/>
        </w:trPr>
        <w:tc>
          <w:tcPr>
            <w:tcW w:w="10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2F27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Fonte: Istat - Banca dati COE - Elaborazioni Ufficio Studi, Statistica e Politiche economiche CCIAA di Lucca</w:t>
            </w:r>
          </w:p>
        </w:tc>
      </w:tr>
      <w:tr w:rsidR="002C6AD9" w:rsidRPr="00A42FF6" w14:paraId="7B1CE0C4" w14:textId="77777777" w:rsidTr="007531AD">
        <w:trPr>
          <w:trHeight w:val="270"/>
        </w:trPr>
        <w:tc>
          <w:tcPr>
            <w:tcW w:w="84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3A61" w14:textId="77777777" w:rsidR="002C6AD9" w:rsidRPr="00A42FF6" w:rsidRDefault="002C6AD9" w:rsidP="007531AD">
            <w:pPr>
              <w:rPr>
                <w:rFonts w:ascii="Arial" w:hAnsi="Arial" w:cs="Arial"/>
                <w:sz w:val="18"/>
                <w:szCs w:val="18"/>
              </w:rPr>
            </w:pPr>
            <w:r w:rsidRPr="00A42FF6">
              <w:rPr>
                <w:rFonts w:ascii="Arial" w:hAnsi="Arial" w:cs="Arial"/>
                <w:sz w:val="18"/>
                <w:szCs w:val="18"/>
              </w:rPr>
              <w:t>(1) Rientrano in questo raggruppamento: agricoltura e pesca, minerali energetici e non, ind. del legno e mobilio, prodotti dell'editoria e della stampa, altri mezzi trasporto, altre ind. manifatt. n.c.a., attività professionali e sociali.</w:t>
            </w:r>
          </w:p>
        </w:tc>
        <w:tc>
          <w:tcPr>
            <w:tcW w:w="1759" w:type="dxa"/>
            <w:gridSpan w:val="2"/>
            <w:vAlign w:val="center"/>
            <w:hideMark/>
          </w:tcPr>
          <w:p w14:paraId="70584C9D" w14:textId="77777777" w:rsidR="002C6AD9" w:rsidRPr="00A42FF6" w:rsidRDefault="002C6AD9" w:rsidP="007531AD"/>
        </w:tc>
        <w:tc>
          <w:tcPr>
            <w:tcW w:w="146" w:type="dxa"/>
            <w:gridSpan w:val="2"/>
            <w:vAlign w:val="center"/>
            <w:hideMark/>
          </w:tcPr>
          <w:p w14:paraId="068017C7" w14:textId="77777777" w:rsidR="002C6AD9" w:rsidRPr="00A42FF6" w:rsidRDefault="002C6AD9" w:rsidP="007531AD"/>
        </w:tc>
      </w:tr>
      <w:tr w:rsidR="002C6AD9" w:rsidRPr="00A42FF6" w14:paraId="1103E650" w14:textId="77777777" w:rsidTr="007531AD">
        <w:trPr>
          <w:trHeight w:val="270"/>
        </w:trPr>
        <w:tc>
          <w:tcPr>
            <w:tcW w:w="84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7B73E" w14:textId="77777777" w:rsidR="002C6AD9" w:rsidRPr="00A42FF6" w:rsidRDefault="002C6AD9" w:rsidP="0075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78B3" w14:textId="77777777" w:rsidR="002C6AD9" w:rsidRPr="00A42FF6" w:rsidRDefault="002C6AD9" w:rsidP="007531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BBC4730" w14:textId="77777777" w:rsidR="002C6AD9" w:rsidRPr="00A42FF6" w:rsidRDefault="002C6AD9" w:rsidP="007531AD"/>
        </w:tc>
      </w:tr>
      <w:tr w:rsidR="002C6AD9" w:rsidRPr="00A42FF6" w14:paraId="3693D82E" w14:textId="77777777" w:rsidTr="007531AD">
        <w:trPr>
          <w:gridAfter w:val="1"/>
          <w:wAfter w:w="8" w:type="dxa"/>
          <w:trHeight w:val="27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57CA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Dati 2020 definitivi e 2021 provvisori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A38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E61" w14:textId="77777777" w:rsidR="002C6AD9" w:rsidRPr="00A42FF6" w:rsidRDefault="002C6AD9" w:rsidP="007531AD"/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D8C7" w14:textId="77777777" w:rsidR="002C6AD9" w:rsidRPr="00A42FF6" w:rsidRDefault="002C6AD9" w:rsidP="007531AD"/>
        </w:tc>
        <w:tc>
          <w:tcPr>
            <w:tcW w:w="1759" w:type="dxa"/>
            <w:gridSpan w:val="2"/>
            <w:vAlign w:val="center"/>
            <w:hideMark/>
          </w:tcPr>
          <w:p w14:paraId="20092675" w14:textId="77777777" w:rsidR="002C6AD9" w:rsidRPr="00A42FF6" w:rsidRDefault="002C6AD9" w:rsidP="007531AD"/>
        </w:tc>
        <w:tc>
          <w:tcPr>
            <w:tcW w:w="146" w:type="dxa"/>
            <w:gridSpan w:val="2"/>
            <w:vAlign w:val="center"/>
            <w:hideMark/>
          </w:tcPr>
          <w:p w14:paraId="1A151A04" w14:textId="77777777" w:rsidR="002C6AD9" w:rsidRPr="00A42FF6" w:rsidRDefault="002C6AD9" w:rsidP="007531AD"/>
        </w:tc>
      </w:tr>
    </w:tbl>
    <w:p w14:paraId="60D9368C" w14:textId="77777777" w:rsidR="002C6AD9" w:rsidRDefault="002C6AD9" w:rsidP="002C6AD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80E90E6" w14:textId="77777777" w:rsidR="002C6AD9" w:rsidRDefault="002C6AD9" w:rsidP="002C6AD9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0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92"/>
        <w:gridCol w:w="1492"/>
        <w:gridCol w:w="1715"/>
        <w:gridCol w:w="1144"/>
        <w:gridCol w:w="146"/>
      </w:tblGrid>
      <w:tr w:rsidR="002C6AD9" w:rsidRPr="00A42FF6" w14:paraId="66BC92CF" w14:textId="77777777" w:rsidTr="007531AD">
        <w:trPr>
          <w:gridAfter w:val="1"/>
          <w:wAfter w:w="146" w:type="dxa"/>
          <w:trHeight w:val="270"/>
        </w:trPr>
        <w:tc>
          <w:tcPr>
            <w:tcW w:w="8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7A95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bookmarkStart w:id="1" w:name="RANGE!A1:F35"/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Importazioni della provincia di Lucca per i principali settori e prodotti. </w:t>
            </w:r>
            <w:bookmarkEnd w:id="1"/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Anni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745A" w14:textId="77777777" w:rsidR="002C6AD9" w:rsidRPr="00A42FF6" w:rsidRDefault="002C6AD9" w:rsidP="007531AD"/>
        </w:tc>
      </w:tr>
      <w:tr w:rsidR="002C6AD9" w:rsidRPr="00A42FF6" w14:paraId="423964FB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019D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Valori assoluti in euro e variazioni %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FCBE3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9404" w14:textId="77777777" w:rsidR="002C6AD9" w:rsidRPr="00A42FF6" w:rsidRDefault="002C6AD9" w:rsidP="007531AD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41B0C" w14:textId="77777777" w:rsidR="002C6AD9" w:rsidRPr="00A42FF6" w:rsidRDefault="002C6AD9" w:rsidP="007531AD"/>
        </w:tc>
        <w:tc>
          <w:tcPr>
            <w:tcW w:w="1144" w:type="dxa"/>
            <w:vAlign w:val="center"/>
            <w:hideMark/>
          </w:tcPr>
          <w:p w14:paraId="7A8E5AAC" w14:textId="77777777" w:rsidR="002C6AD9" w:rsidRPr="00A42FF6" w:rsidRDefault="002C6AD9" w:rsidP="007531AD"/>
        </w:tc>
      </w:tr>
      <w:tr w:rsidR="002C6AD9" w:rsidRPr="00A42FF6" w14:paraId="37C6136B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2EE3CBA0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IMPORT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740775D0" w14:textId="77777777" w:rsidR="002C6AD9" w:rsidRPr="00A42FF6" w:rsidRDefault="002C6AD9" w:rsidP="007531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Valori assoluti in euro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D3FB1B5" w14:textId="77777777" w:rsidR="002C6AD9" w:rsidRPr="00A42FF6" w:rsidRDefault="002C6AD9" w:rsidP="007531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Var. % anno 2021/2020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6F916469" w14:textId="77777777" w:rsidR="002C6AD9" w:rsidRPr="00A42FF6" w:rsidRDefault="002C6AD9" w:rsidP="007531AD"/>
        </w:tc>
      </w:tr>
      <w:tr w:rsidR="002C6AD9" w:rsidRPr="00A42FF6" w14:paraId="1A49212A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D2B4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3170D44" w14:textId="77777777" w:rsidR="002C6AD9" w:rsidRPr="00A42FF6" w:rsidRDefault="002C6AD9" w:rsidP="007531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Anno 2020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664EDA7" w14:textId="77777777" w:rsidR="002C6AD9" w:rsidRPr="00A42FF6" w:rsidRDefault="002C6AD9" w:rsidP="007531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Anno 2021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DF48F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419C0A6F" w14:textId="77777777" w:rsidR="002C6AD9" w:rsidRPr="00A42FF6" w:rsidRDefault="002C6AD9" w:rsidP="007531AD"/>
        </w:tc>
      </w:tr>
      <w:tr w:rsidR="002C6AD9" w:rsidRPr="00A42FF6" w14:paraId="3C152C5E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FDC3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Carta e cartotecnica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C97B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513.498.824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2A8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588.973.411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2B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14,7%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632C786F" w14:textId="77777777" w:rsidR="002C6AD9" w:rsidRPr="00A42FF6" w:rsidRDefault="002C6AD9" w:rsidP="007531AD"/>
        </w:tc>
      </w:tr>
      <w:tr w:rsidR="002C6AD9" w:rsidRPr="00A42FF6" w14:paraId="6744923C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729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Pasta da carta, carta e cartone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FE8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491.209.463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1E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569.060.651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72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15,8%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2F40E2AB" w14:textId="77777777" w:rsidR="002C6AD9" w:rsidRPr="00A42FF6" w:rsidRDefault="002C6AD9" w:rsidP="007531AD"/>
        </w:tc>
      </w:tr>
      <w:tr w:rsidR="002C6AD9" w:rsidRPr="00A42FF6" w14:paraId="51AE17CA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903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Articoli di carta e di cartone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38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22.289.361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AB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19.912.760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BB0B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-10,7%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5A8594E6" w14:textId="77777777" w:rsidR="002C6AD9" w:rsidRPr="00A42FF6" w:rsidRDefault="002C6AD9" w:rsidP="007531AD"/>
        </w:tc>
      </w:tr>
      <w:tr w:rsidR="002C6AD9" w:rsidRPr="00A42FF6" w14:paraId="1346340E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13A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Chimica e delle vernici e farmac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eutica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726A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291.583.469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9510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355.562.732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54F7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21,9%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0FAA4C85" w14:textId="77777777" w:rsidR="002C6AD9" w:rsidRPr="00A42FF6" w:rsidRDefault="002C6AD9" w:rsidP="007531AD"/>
        </w:tc>
      </w:tr>
      <w:tr w:rsidR="002C6AD9" w:rsidRPr="00A42FF6" w14:paraId="7DD16CFD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B73C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Farmaceutic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2A7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153.943.305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E34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161.747.490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07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5,1%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11D0441B" w14:textId="77777777" w:rsidR="002C6AD9" w:rsidRPr="00A42FF6" w:rsidRDefault="002C6AD9" w:rsidP="007531AD"/>
        </w:tc>
      </w:tr>
      <w:tr w:rsidR="002C6AD9" w:rsidRPr="00A42FF6" w14:paraId="61C4B46F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140E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Alimentari e tabacco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3787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222.707.380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2B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252.224.120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F51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13,3%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52960EDA" w14:textId="77777777" w:rsidR="002C6AD9" w:rsidRPr="00A42FF6" w:rsidRDefault="002C6AD9" w:rsidP="007531AD"/>
        </w:tc>
      </w:tr>
      <w:tr w:rsidR="002C6AD9" w:rsidRPr="00A42FF6" w14:paraId="2A24F07D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EE19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 cui   Olio di oliva, di semi, etc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D24E1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165.756.854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7F83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202.790.689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223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22,3%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4AC2B19F" w14:textId="77777777" w:rsidR="002C6AD9" w:rsidRPr="00A42FF6" w:rsidRDefault="002C6AD9" w:rsidP="007531AD"/>
        </w:tc>
      </w:tr>
      <w:tr w:rsidR="002C6AD9" w:rsidRPr="00A42FF6" w14:paraId="571D4C82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A913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Metallurgica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A52A8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186.540.810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253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220.332.584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499B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18,1%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4A5FC535" w14:textId="77777777" w:rsidR="002C6AD9" w:rsidRPr="00A42FF6" w:rsidRDefault="002C6AD9" w:rsidP="007531AD"/>
        </w:tc>
      </w:tr>
      <w:tr w:rsidR="002C6AD9" w:rsidRPr="00A42FF6" w14:paraId="0020669E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F14B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Rame ed altri minerali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18A7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149.892.350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9DE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176.775.371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298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17,9%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70657AAE" w14:textId="77777777" w:rsidR="002C6AD9" w:rsidRPr="00A42FF6" w:rsidRDefault="002C6AD9" w:rsidP="007531AD"/>
        </w:tc>
      </w:tr>
      <w:tr w:rsidR="002C6AD9" w:rsidRPr="00A42FF6" w14:paraId="0AA9E5CD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632F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Meccanica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2ED3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157.830.031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231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200.295.967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6D9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26,9%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5FB700E3" w14:textId="77777777" w:rsidR="002C6AD9" w:rsidRPr="00A42FF6" w:rsidRDefault="002C6AD9" w:rsidP="007531AD"/>
        </w:tc>
      </w:tr>
      <w:tr w:rsidR="002C6AD9" w:rsidRPr="00A42FF6" w14:paraId="75AD0D2D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9B14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Macchine per impieghi speciali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70B2F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65.119.044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76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77.047.456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F4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18,3%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2AD62DF0" w14:textId="77777777" w:rsidR="002C6AD9" w:rsidRPr="00A42FF6" w:rsidRDefault="002C6AD9" w:rsidP="007531AD"/>
        </w:tc>
      </w:tr>
      <w:tr w:rsidR="002C6AD9" w:rsidRPr="00A42FF6" w14:paraId="31F38EB4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202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Fabbric. mat. elettrico e mecc. di precisione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5778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78.395.036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C78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94.861.678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43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21,0%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72CCB2C8" w14:textId="77777777" w:rsidR="002C6AD9" w:rsidRPr="00A42FF6" w:rsidRDefault="002C6AD9" w:rsidP="007531AD"/>
        </w:tc>
      </w:tr>
      <w:tr w:rsidR="002C6AD9" w:rsidRPr="00A42FF6" w14:paraId="293B4BFF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688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Cuoio e Calzature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852C3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50.289.255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D723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51.031.099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1A73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1,5%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0ED8AB96" w14:textId="77777777" w:rsidR="002C6AD9" w:rsidRPr="00A42FF6" w:rsidRDefault="002C6AD9" w:rsidP="007531AD"/>
        </w:tc>
      </w:tr>
      <w:tr w:rsidR="002C6AD9" w:rsidRPr="00A42FF6" w14:paraId="3DF14A75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972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di cui   Ind. delle Calzature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BB304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36.010.046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9C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35.332.944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FD5F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-1,9%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3126F0D1" w14:textId="77777777" w:rsidR="002C6AD9" w:rsidRPr="00A42FF6" w:rsidRDefault="002C6AD9" w:rsidP="007531AD"/>
        </w:tc>
      </w:tr>
      <w:tr w:rsidR="002C6AD9" w:rsidRPr="00A42FF6" w14:paraId="14F0C4E0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3DBF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Industria Tessile e Abbigliamento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C105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53.343.128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C7B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46.860.419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7F4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-12,2%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20B32DCD" w14:textId="77777777" w:rsidR="002C6AD9" w:rsidRPr="00A42FF6" w:rsidRDefault="002C6AD9" w:rsidP="007531AD"/>
        </w:tc>
      </w:tr>
      <w:tr w:rsidR="002C6AD9" w:rsidRPr="00A42FF6" w14:paraId="5285F3E5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9013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Prodotti agricoli, caccia e pesca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D2CC7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31.751.232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9C2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40.002.377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06B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26,0%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58A87B10" w14:textId="77777777" w:rsidR="002C6AD9" w:rsidRPr="00A42FF6" w:rsidRDefault="002C6AD9" w:rsidP="007531AD"/>
        </w:tc>
      </w:tr>
      <w:tr w:rsidR="002C6AD9" w:rsidRPr="00A42FF6" w14:paraId="36D14B76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8549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Gomma e Plastica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82D57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34.384.001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4B22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39.979.227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19D1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16,3%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755E1ED2" w14:textId="77777777" w:rsidR="002C6AD9" w:rsidRPr="00A42FF6" w:rsidRDefault="002C6AD9" w:rsidP="007531AD"/>
        </w:tc>
      </w:tr>
      <w:tr w:rsidR="002C6AD9" w:rsidRPr="00A42FF6" w14:paraId="59FFAFE4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D14D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Lapidea, del Vetro, Pietre Estr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22BE0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23.426.457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CF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23.085.569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A417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-1,5%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33A4F2B4" w14:textId="77777777" w:rsidR="002C6AD9" w:rsidRPr="00A42FF6" w:rsidRDefault="002C6AD9" w:rsidP="007531AD"/>
        </w:tc>
      </w:tr>
      <w:tr w:rsidR="002C6AD9" w:rsidRPr="00A42FF6" w14:paraId="5B52AB4B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920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 cui   Ind. Lapidea  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40EA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2.912.643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1A9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2.691.105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C95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-7,6%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401AB305" w14:textId="77777777" w:rsidR="002C6AD9" w:rsidRPr="00A42FF6" w:rsidRDefault="002C6AD9" w:rsidP="007531AD"/>
        </w:tc>
      </w:tr>
      <w:tr w:rsidR="002C6AD9" w:rsidRPr="00A42FF6" w14:paraId="5637CE95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C58" w14:textId="77777777" w:rsidR="002C6AD9" w:rsidRPr="00A42FF6" w:rsidRDefault="002C6AD9" w:rsidP="007531AD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Pietre estratte sabbia e argilla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7541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7.814.442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1BA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6.438.647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8640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-17,6%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19BF2D41" w14:textId="77777777" w:rsidR="002C6AD9" w:rsidRPr="00A42FF6" w:rsidRDefault="002C6AD9" w:rsidP="007531AD"/>
        </w:tc>
      </w:tr>
      <w:tr w:rsidR="002C6AD9" w:rsidRPr="00A42FF6" w14:paraId="16487DE9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E45" w14:textId="77777777" w:rsidR="002C6AD9" w:rsidRPr="00A42FF6" w:rsidRDefault="002C6AD9" w:rsidP="007531AD">
            <w:pPr>
              <w:ind w:firstLineChars="300" w:firstLine="5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Ind. del vetro, materiale costruzione etc.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F055F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12.699.372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23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13.955.817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069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9,9%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52049EAF" w14:textId="77777777" w:rsidR="002C6AD9" w:rsidRPr="00A42FF6" w:rsidRDefault="002C6AD9" w:rsidP="007531AD"/>
        </w:tc>
      </w:tr>
      <w:tr w:rsidR="002C6AD9" w:rsidRPr="00A42FF6" w14:paraId="23C85D12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16B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Ind. Cantieristica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5F48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11.556.417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6E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21.870.645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E3F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89,3%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0DE84C6B" w14:textId="77777777" w:rsidR="002C6AD9" w:rsidRPr="00A42FF6" w:rsidRDefault="002C6AD9" w:rsidP="007531AD"/>
        </w:tc>
      </w:tr>
      <w:tr w:rsidR="002C6AD9" w:rsidRPr="00A42FF6" w14:paraId="0E8442AC" w14:textId="77777777" w:rsidTr="007531AD">
        <w:trPr>
          <w:gridAfter w:val="1"/>
          <w:wAfter w:w="146" w:type="dxa"/>
          <w:trHeight w:val="24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37DB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Altre attività economiche (1)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6AED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117.037.892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A1D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186.690.297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3E9B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59,5%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155F9282" w14:textId="77777777" w:rsidR="002C6AD9" w:rsidRPr="00A42FF6" w:rsidRDefault="002C6AD9" w:rsidP="007531AD"/>
        </w:tc>
      </w:tr>
      <w:tr w:rsidR="002C6AD9" w:rsidRPr="00A42FF6" w14:paraId="1A8BA2F4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E71DE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TOTALE PROVINCIA LUCCA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662F9A8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1.772.343.932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0A21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2.121.770.125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700BA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19,7%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4653DE80" w14:textId="77777777" w:rsidR="002C6AD9" w:rsidRPr="00A42FF6" w:rsidRDefault="002C6AD9" w:rsidP="007531AD"/>
        </w:tc>
      </w:tr>
      <w:tr w:rsidR="002C6AD9" w:rsidRPr="00A42FF6" w14:paraId="174AF778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724EE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TOTALE TOSCANA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50CAC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28.100.789.736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0FC8E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29.816.484.635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65A483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6,1%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0C64EFAA" w14:textId="77777777" w:rsidR="002C6AD9" w:rsidRPr="00A42FF6" w:rsidRDefault="002C6AD9" w:rsidP="007531AD"/>
        </w:tc>
      </w:tr>
      <w:tr w:rsidR="002C6AD9" w:rsidRPr="00A42FF6" w14:paraId="7F4D65EC" w14:textId="77777777" w:rsidTr="007531AD">
        <w:trPr>
          <w:gridAfter w:val="1"/>
          <w:wAfter w:w="146" w:type="dxa"/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47E9A" w14:textId="77777777" w:rsidR="002C6AD9" w:rsidRPr="00A42FF6" w:rsidRDefault="002C6AD9" w:rsidP="007531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TOTALE ITALIA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179A2C6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373.428.349.381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6750C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466.008.476.465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53597" w14:textId="77777777" w:rsidR="002C6AD9" w:rsidRPr="00A42FF6" w:rsidRDefault="002C6AD9" w:rsidP="007531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FF6">
              <w:rPr>
                <w:rFonts w:ascii="Arial" w:hAnsi="Arial" w:cs="Arial"/>
                <w:b/>
                <w:bCs/>
                <w:sz w:val="18"/>
                <w:szCs w:val="18"/>
              </w:rPr>
              <w:t>24,8%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  <w:hideMark/>
          </w:tcPr>
          <w:p w14:paraId="5005885E" w14:textId="77777777" w:rsidR="002C6AD9" w:rsidRPr="00A42FF6" w:rsidRDefault="002C6AD9" w:rsidP="007531AD"/>
        </w:tc>
      </w:tr>
      <w:tr w:rsidR="002C6AD9" w:rsidRPr="00A42FF6" w14:paraId="19705B2F" w14:textId="77777777" w:rsidTr="007531AD">
        <w:trPr>
          <w:trHeight w:val="270"/>
        </w:trPr>
        <w:tc>
          <w:tcPr>
            <w:tcW w:w="10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FE87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Fonte: Istat - Banca dati COE - Elaborazioni Ufficio Studi, Statistica e Politiche economiche CCIAA di Lucca</w:t>
            </w:r>
          </w:p>
        </w:tc>
      </w:tr>
      <w:tr w:rsidR="002C6AD9" w:rsidRPr="00A42FF6" w14:paraId="3162CCAF" w14:textId="77777777" w:rsidTr="007531AD">
        <w:trPr>
          <w:trHeight w:val="270"/>
        </w:trPr>
        <w:tc>
          <w:tcPr>
            <w:tcW w:w="88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6E143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(1) Rientrano in questo raggruppamento: minerali energetici e non, ind. del legno e mobilio, prodotti dell'editoria e della stampa, altri mezzi trasporto, altre ind. manifatt. n.c.a., attività professionali e sociali.</w:t>
            </w:r>
          </w:p>
        </w:tc>
        <w:tc>
          <w:tcPr>
            <w:tcW w:w="1144" w:type="dxa"/>
            <w:vAlign w:val="center"/>
            <w:hideMark/>
          </w:tcPr>
          <w:p w14:paraId="33DC69E2" w14:textId="77777777" w:rsidR="002C6AD9" w:rsidRPr="00A42FF6" w:rsidRDefault="002C6AD9" w:rsidP="007531AD"/>
        </w:tc>
        <w:tc>
          <w:tcPr>
            <w:tcW w:w="146" w:type="dxa"/>
            <w:vAlign w:val="center"/>
            <w:hideMark/>
          </w:tcPr>
          <w:p w14:paraId="29D6D2D4" w14:textId="77777777" w:rsidR="002C6AD9" w:rsidRPr="00A42FF6" w:rsidRDefault="002C6AD9" w:rsidP="007531AD"/>
        </w:tc>
      </w:tr>
      <w:tr w:rsidR="002C6AD9" w:rsidRPr="00A42FF6" w14:paraId="126833C0" w14:textId="77777777" w:rsidTr="007531AD">
        <w:trPr>
          <w:trHeight w:val="270"/>
        </w:trPr>
        <w:tc>
          <w:tcPr>
            <w:tcW w:w="88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31BDC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88EF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14:paraId="6B7213A3" w14:textId="77777777" w:rsidR="002C6AD9" w:rsidRPr="00A42FF6" w:rsidRDefault="002C6AD9" w:rsidP="007531AD"/>
        </w:tc>
      </w:tr>
      <w:tr w:rsidR="002C6AD9" w:rsidRPr="00A42FF6" w14:paraId="0B6E5CDE" w14:textId="77777777" w:rsidTr="007531AD">
        <w:trPr>
          <w:trHeight w:val="27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1701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2FF6">
              <w:rPr>
                <w:rFonts w:ascii="Arial" w:hAnsi="Arial" w:cs="Arial"/>
                <w:i/>
                <w:iCs/>
                <w:sz w:val="18"/>
                <w:szCs w:val="18"/>
              </w:rPr>
              <w:t>Dati 2020 definitivi e 2021 provvisori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5B6E" w14:textId="77777777" w:rsidR="002C6AD9" w:rsidRPr="00A42FF6" w:rsidRDefault="002C6AD9" w:rsidP="007531A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4B2D" w14:textId="77777777" w:rsidR="002C6AD9" w:rsidRPr="00A42FF6" w:rsidRDefault="002C6AD9" w:rsidP="007531AD"/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CA60" w14:textId="77777777" w:rsidR="002C6AD9" w:rsidRPr="00A42FF6" w:rsidRDefault="002C6AD9" w:rsidP="007531AD"/>
        </w:tc>
        <w:tc>
          <w:tcPr>
            <w:tcW w:w="1144" w:type="dxa"/>
            <w:vAlign w:val="center"/>
            <w:hideMark/>
          </w:tcPr>
          <w:p w14:paraId="4A219439" w14:textId="77777777" w:rsidR="002C6AD9" w:rsidRPr="00A42FF6" w:rsidRDefault="002C6AD9" w:rsidP="007531AD"/>
        </w:tc>
        <w:tc>
          <w:tcPr>
            <w:tcW w:w="146" w:type="dxa"/>
            <w:vAlign w:val="center"/>
            <w:hideMark/>
          </w:tcPr>
          <w:p w14:paraId="05403643" w14:textId="77777777" w:rsidR="002C6AD9" w:rsidRPr="00A42FF6" w:rsidRDefault="002C6AD9" w:rsidP="007531AD"/>
        </w:tc>
      </w:tr>
    </w:tbl>
    <w:p w14:paraId="23ED70CA" w14:textId="77777777" w:rsidR="002C6AD9" w:rsidRDefault="002C6AD9" w:rsidP="002C6AD9">
      <w:pPr>
        <w:rPr>
          <w:rFonts w:asciiTheme="majorHAnsi" w:hAnsiTheme="majorHAnsi" w:cstheme="majorHAnsi"/>
          <w:sz w:val="24"/>
          <w:szCs w:val="24"/>
        </w:rPr>
      </w:pPr>
    </w:p>
    <w:p w14:paraId="670CBB70" w14:textId="77777777" w:rsidR="002C6AD9" w:rsidRPr="00081D9C" w:rsidRDefault="002C6AD9" w:rsidP="002C6AD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E8E596" w14:textId="77777777" w:rsidR="00A80914" w:rsidRDefault="00A80914" w:rsidP="00661592"/>
    <w:sectPr w:rsidR="00A80914" w:rsidSect="00063D66">
      <w:headerReference w:type="default" r:id="rId13"/>
      <w:footerReference w:type="default" r:id="rId14"/>
      <w:pgSz w:w="11906" w:h="16838"/>
      <w:pgMar w:top="1985" w:right="1134" w:bottom="1418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>cameracommercio@lu.camcom.it - p.e.c.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5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6DE017A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B6286E"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63D66"/>
    <w:rsid w:val="000859BD"/>
    <w:rsid w:val="000863F3"/>
    <w:rsid w:val="000C051F"/>
    <w:rsid w:val="00115AEF"/>
    <w:rsid w:val="00154937"/>
    <w:rsid w:val="001C277E"/>
    <w:rsid w:val="00264372"/>
    <w:rsid w:val="002A22AD"/>
    <w:rsid w:val="002C6AD9"/>
    <w:rsid w:val="002F24F8"/>
    <w:rsid w:val="00354E6E"/>
    <w:rsid w:val="00355678"/>
    <w:rsid w:val="004025BE"/>
    <w:rsid w:val="00472D66"/>
    <w:rsid w:val="004E4087"/>
    <w:rsid w:val="00545AA3"/>
    <w:rsid w:val="005D3DCB"/>
    <w:rsid w:val="00661592"/>
    <w:rsid w:val="0066176A"/>
    <w:rsid w:val="00673381"/>
    <w:rsid w:val="006F4F49"/>
    <w:rsid w:val="007119F3"/>
    <w:rsid w:val="00755D76"/>
    <w:rsid w:val="007B592B"/>
    <w:rsid w:val="007C6D77"/>
    <w:rsid w:val="0080528F"/>
    <w:rsid w:val="0089444C"/>
    <w:rsid w:val="008B0CD2"/>
    <w:rsid w:val="008D5DBA"/>
    <w:rsid w:val="009138B1"/>
    <w:rsid w:val="00941C7C"/>
    <w:rsid w:val="009803C7"/>
    <w:rsid w:val="00987CE4"/>
    <w:rsid w:val="00A14D85"/>
    <w:rsid w:val="00A80914"/>
    <w:rsid w:val="00A85CBD"/>
    <w:rsid w:val="00A86106"/>
    <w:rsid w:val="00AB73F6"/>
    <w:rsid w:val="00B026FD"/>
    <w:rsid w:val="00B6286E"/>
    <w:rsid w:val="00BF5CE9"/>
    <w:rsid w:val="00C31339"/>
    <w:rsid w:val="00C85E3A"/>
    <w:rsid w:val="00C861F1"/>
    <w:rsid w:val="00CB295A"/>
    <w:rsid w:val="00CC3158"/>
    <w:rsid w:val="00D0639F"/>
    <w:rsid w:val="00E14841"/>
    <w:rsid w:val="00E3189E"/>
    <w:rsid w:val="00E472FC"/>
    <w:rsid w:val="00F43DE9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lu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7</cp:revision>
  <cp:lastPrinted>2022-03-01T13:42:00Z</cp:lastPrinted>
  <dcterms:created xsi:type="dcterms:W3CDTF">2022-03-11T10:57:00Z</dcterms:created>
  <dcterms:modified xsi:type="dcterms:W3CDTF">2022-03-14T08:39:00Z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