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A95140" w14:textId="7D08DAA0" w:rsidR="00347FBB" w:rsidRDefault="00347FBB">
      <w:pPr>
        <w:jc w:val="center"/>
        <w:rPr>
          <w:rFonts w:ascii="Verdana" w:hAnsi="Verdana"/>
          <w:b/>
          <w:bCs/>
          <w:sz w:val="28"/>
          <w:szCs w:val="20"/>
        </w:rPr>
      </w:pPr>
      <w:r>
        <w:rPr>
          <w:rFonts w:ascii="Verdana" w:hAnsi="Verdana"/>
          <w:b/>
          <w:bCs/>
          <w:sz w:val="28"/>
          <w:szCs w:val="20"/>
        </w:rPr>
        <w:t>La fotografia delle imp</w:t>
      </w:r>
      <w:r w:rsidR="00BE5BE8">
        <w:rPr>
          <w:rFonts w:ascii="Verdana" w:hAnsi="Verdana"/>
          <w:b/>
          <w:bCs/>
          <w:sz w:val="28"/>
          <w:szCs w:val="20"/>
        </w:rPr>
        <w:t>r</w:t>
      </w:r>
      <w:r>
        <w:rPr>
          <w:rFonts w:ascii="Verdana" w:hAnsi="Verdana"/>
          <w:b/>
          <w:bCs/>
          <w:sz w:val="28"/>
          <w:szCs w:val="20"/>
        </w:rPr>
        <w:t>ese</w:t>
      </w:r>
    </w:p>
    <w:p w14:paraId="65822703" w14:textId="23BEA373" w:rsidR="002704B6" w:rsidRDefault="00347FBB">
      <w:pPr>
        <w:jc w:val="center"/>
        <w:rPr>
          <w:rFonts w:ascii="Verdana" w:hAnsi="Verdana"/>
          <w:b/>
          <w:bCs/>
          <w:sz w:val="28"/>
          <w:szCs w:val="20"/>
        </w:rPr>
      </w:pPr>
      <w:r>
        <w:rPr>
          <w:rFonts w:ascii="Verdana" w:hAnsi="Verdana"/>
          <w:b/>
          <w:bCs/>
          <w:sz w:val="28"/>
          <w:szCs w:val="20"/>
        </w:rPr>
        <w:t>in provincia di Lucca</w:t>
      </w:r>
      <w:r w:rsidR="00557320">
        <w:rPr>
          <w:rFonts w:ascii="Verdana" w:hAnsi="Verdana"/>
          <w:b/>
          <w:bCs/>
          <w:sz w:val="28"/>
          <w:szCs w:val="20"/>
        </w:rPr>
        <w:t xml:space="preserve"> al 30 giugno 2020</w:t>
      </w:r>
    </w:p>
    <w:p w14:paraId="6391407A" w14:textId="2CF3646A" w:rsidR="00347FBB" w:rsidRPr="00347FBB" w:rsidRDefault="00347FBB" w:rsidP="00347FBB">
      <w:pPr>
        <w:ind w:right="-285" w:hanging="142"/>
        <w:jc w:val="center"/>
      </w:pPr>
      <w:r w:rsidRPr="00347FBB">
        <w:rPr>
          <w:rFonts w:ascii="Verdana" w:hAnsi="Verdana"/>
        </w:rPr>
        <w:t xml:space="preserve">Dati </w:t>
      </w:r>
      <w:proofErr w:type="spellStart"/>
      <w:r w:rsidRPr="00347FBB">
        <w:rPr>
          <w:rFonts w:ascii="Verdana" w:hAnsi="Verdana"/>
        </w:rPr>
        <w:t>Movimprese</w:t>
      </w:r>
      <w:proofErr w:type="spellEnd"/>
      <w:r w:rsidRPr="00347FBB">
        <w:rPr>
          <w:rFonts w:ascii="Verdana" w:hAnsi="Verdana"/>
        </w:rPr>
        <w:t xml:space="preserve"> elaborati dall’ufficio Studi e statistica della Camera di Commercio</w:t>
      </w:r>
    </w:p>
    <w:p w14:paraId="07D87BAC" w14:textId="63D67416" w:rsidR="002704B6" w:rsidRDefault="002704B6">
      <w:pPr>
        <w:pStyle w:val="Corpotesto"/>
        <w:spacing w:after="283"/>
      </w:pPr>
    </w:p>
    <w:p w14:paraId="0EAA74CD" w14:textId="6208B299" w:rsidR="00557320" w:rsidRPr="00557320" w:rsidRDefault="00114F98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896A16">
        <w:rPr>
          <w:rFonts w:ascii="Verdana" w:hAnsi="Verdana"/>
          <w:i/>
          <w:iCs/>
          <w:sz w:val="22"/>
          <w:szCs w:val="22"/>
          <w:shd w:val="clear" w:color="auto" w:fill="FFFFFF"/>
        </w:rPr>
        <w:t xml:space="preserve">Lucca, </w:t>
      </w:r>
      <w:r w:rsidR="00347FBB">
        <w:rPr>
          <w:rFonts w:ascii="Verdana" w:hAnsi="Verdana"/>
          <w:i/>
          <w:iCs/>
          <w:sz w:val="22"/>
          <w:szCs w:val="22"/>
          <w:shd w:val="clear" w:color="auto" w:fill="FFFFFF"/>
        </w:rPr>
        <w:t>31</w:t>
      </w:r>
      <w:r w:rsidR="00896A16" w:rsidRPr="00896A16">
        <w:rPr>
          <w:rFonts w:ascii="Verdana" w:hAnsi="Verdana"/>
          <w:i/>
          <w:iCs/>
          <w:sz w:val="22"/>
          <w:szCs w:val="22"/>
          <w:shd w:val="clear" w:color="auto" w:fill="FFFFFF"/>
        </w:rPr>
        <w:t xml:space="preserve"> luglio </w:t>
      </w:r>
      <w:r w:rsidRPr="00896A16">
        <w:rPr>
          <w:rFonts w:ascii="Verdana" w:hAnsi="Verdana"/>
          <w:i/>
          <w:iCs/>
          <w:sz w:val="22"/>
          <w:szCs w:val="22"/>
          <w:shd w:val="clear" w:color="auto" w:fill="FFFFFF"/>
        </w:rPr>
        <w:t>2020</w:t>
      </w:r>
      <w:r w:rsidRPr="00896A16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AE4C46" w:rsidRPr="00896A16">
        <w:rPr>
          <w:rFonts w:ascii="Verdana" w:hAnsi="Verdana"/>
          <w:sz w:val="22"/>
          <w:szCs w:val="22"/>
          <w:shd w:val="clear" w:color="auto" w:fill="FFFFFF"/>
        </w:rPr>
        <w:t>–</w:t>
      </w:r>
      <w:r w:rsidR="00557320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557320" w:rsidRPr="00557320">
        <w:rPr>
          <w:rFonts w:ascii="Verdana" w:hAnsi="Verdana"/>
          <w:sz w:val="22"/>
          <w:szCs w:val="22"/>
          <w:shd w:val="clear" w:color="auto" w:fill="FFFFFF"/>
        </w:rPr>
        <w:t>Le imprese registrate in provincia di Lucca al 30 giugno 2020 risultano 42.513, un valore in calo di 201 unità (-0,5%) nei primi sei mesi dell’anno. Come era atteso, nel primo semestre 2020 si è rilevata una contrazione lievemente superiore agli anni precedenti, quando la contrazione del tessuto imprenditoriale provinciale era risultata contenuta a pochi decimi di punto percentuale.</w:t>
      </w:r>
      <w:r w:rsidR="00557320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557320" w:rsidRPr="00557320">
        <w:rPr>
          <w:rFonts w:ascii="Verdana" w:hAnsi="Verdana"/>
          <w:sz w:val="22"/>
          <w:szCs w:val="22"/>
          <w:shd w:val="clear" w:color="auto" w:fill="FFFFFF"/>
        </w:rPr>
        <w:t>Anche la numerosità delle imprese attive in provincia ha evidenziato una lieve diminuzione nei primi sei mesi dell’anno, contenuta in 29 unità in meno (-0,1%), che ha portato a quota 36.121 le imprese operative a fine giugno.</w:t>
      </w:r>
      <w:r w:rsidR="00557320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557320" w:rsidRPr="00557320">
        <w:rPr>
          <w:rFonts w:ascii="Verdana" w:hAnsi="Verdana"/>
          <w:sz w:val="22"/>
          <w:szCs w:val="22"/>
          <w:shd w:val="clear" w:color="auto" w:fill="FFFFFF"/>
        </w:rPr>
        <w:t>Nel confronto territoriale, a livello regionale si è registrata una diminuzione delle imprese attive del -0,2% da inizio anno, mentre a livello nazionale il calo si è fermato al -0,1%. Le maggiori difficoltà hanno riguardato i territori di Firenze e Arezzo, seguite da Prato. Stabili invece Grosseto, Livorno e Massa Carrara.</w:t>
      </w:r>
    </w:p>
    <w:p w14:paraId="529A4E3A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Le iscrizioni e cessazioni</w:t>
      </w:r>
    </w:p>
    <w:p w14:paraId="04B7F8F7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 xml:space="preserve">L’effetto Covid-19 ha iniziato a produrre i primi effetti sulla nati-mortalità del sistema imprenditoriale. Complice anche il </w:t>
      </w:r>
      <w:proofErr w:type="spellStart"/>
      <w:r w:rsidRPr="00557320">
        <w:rPr>
          <w:rFonts w:ascii="Verdana" w:hAnsi="Verdana"/>
          <w:sz w:val="22"/>
          <w:szCs w:val="22"/>
          <w:shd w:val="clear" w:color="auto" w:fill="FFFFFF"/>
        </w:rPr>
        <w:t>lockdown</w:t>
      </w:r>
      <w:proofErr w:type="spellEnd"/>
      <w:r w:rsidRPr="00557320">
        <w:rPr>
          <w:rFonts w:ascii="Verdana" w:hAnsi="Verdana"/>
          <w:sz w:val="22"/>
          <w:szCs w:val="22"/>
          <w:shd w:val="clear" w:color="auto" w:fill="FFFFFF"/>
        </w:rPr>
        <w:t>, tra gennaio e giugno si è osservato un rallentamento nelle aperture di nuove imprese con 1.105 iscrizioni contro le 1.515 del primo semestre 2019, il 27,1% in meno. Contestualmente sono diminuite anche le cessazioni (al netto di quelle operate d’ufficio), che si sono attestate a 1.103 nei primi sei mesi dell’anno rispetto alle 1.408 dell’anno precedente, il 21,7% in meno. Al bilancio del semestre ha contribuito in positivo la componente artigiana, che ha chiuso il periodo con un saldo attivo grazie alle 418 iscrizioni di nuove imprese a fronte di 401 cessazioni, e una diminuzione delle iscrizioni di imprese artigiane (-19,8% rispetto al primo semestre 2019) più contenuta rispetto al totale imprese (-27,1%).</w:t>
      </w:r>
    </w:p>
    <w:p w14:paraId="6C61EFB7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L'andamento dei settori economici</w:t>
      </w:r>
    </w:p>
    <w:p w14:paraId="0436393E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 xml:space="preserve">Nei primi sei mesi del 2020 la consistenza del tessuto imprenditoriale lucchese ha evidenziato dinamiche eterogenee a livello settoriale. </w:t>
      </w:r>
    </w:p>
    <w:p w14:paraId="2F3EB972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Si è registrata una nuova contrazione dell’agricoltura, silvicoltura e pesca che, con un calo di 10 unità (-0,4%) rispetto a dicembre 2019, è scesa a 2.336 imprese attive in provincia. Sono tornate invece a crescere le imprese operative nel settore delle costruzioni, che hanno recuperato 23 unità rispetto alla fine del 2019 (+0,4%) dopo anni di diminuzioni. L’industria in senso stretto (estrattivo, manifatturiero, utilities) ha perso 9 imprese (-0,2%), delle quali 4 unità nel manifatturiero (-0,1%), scendendo a quota 4.382 unità attive in provincia.</w:t>
      </w:r>
    </w:p>
    <w:p w14:paraId="50DDAA78" w14:textId="2E078380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 xml:space="preserve">Il settore dei servizi, che nel complesso racchiude 23.163 imprese attive (il 64,1% delle imprese operanti in provincia), ha perso 30 imprese (-0,1%) nei primi 6 mesi dell’anno, con un andamento particolarmente negativo del commercio (9.241 imprese attive) che ha lasciato sul campo 104 unità (-1,1%). Altre diminuzioni di sono registrate nelle altre attività dei servizi (riparatori, acconciatori, istituti di bellezza, lavanderie, etc.), in calo di 24 imprese (-1,3%), nelle attività finanziarie e assicurative (-0,9%; 8 imprese), nel trasporto e magazzinaggio sceso del -0,7% (-6 unità), nelle attività di alloggio e ristorazione (-0,2%; -6 unità). In flessione anche il comparto della sanità che ha perso 5 unità (-3,2%), mentre i restanti settori hanno evidenziato andamenti positivi, con le attività di noleggio e servizi alle imprese in crescita di 45 unità (+3,0%) a quota 1.547 imprese attive e le attività di affitto e gestione di immobili di proprietà o in leasing salite </w:t>
      </w:r>
      <w:r w:rsidRPr="00557320">
        <w:rPr>
          <w:rFonts w:ascii="Verdana" w:hAnsi="Verdana"/>
          <w:sz w:val="22"/>
          <w:szCs w:val="22"/>
          <w:shd w:val="clear" w:color="auto" w:fill="FFFFFF"/>
        </w:rPr>
        <w:lastRenderedPageBreak/>
        <w:t>di 36 unità (+1,5%). Sono cresciuti anche i settori delle attività professionali, scientifiche e tecniche (+17 imprese, +1,7%), le attività artistiche e sportive (+12; +1,3%), il comparto istruzione e i servizi di informazione e comunicazione.</w:t>
      </w:r>
    </w:p>
    <w:p w14:paraId="62E1AC09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Le imprese artigiane</w:t>
      </w:r>
    </w:p>
    <w:p w14:paraId="0691CB6F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Nei primi 6 mesi dell’anno il tessuto imprenditoriale artigiano lucchese ha registrato il primo incremento semestrale dal 2009, quando il comparto artigiano provinciale era entrato in crisi. L’aumento registrato, pari a +16 unità (+0,1%), ha portato a quota 11.128 le imprese artigiane attive al 30 giugno 2020 in provincia. L’incidenza artigiana sul complesso imprenditoriale lucchese si riporta al 30,8% guadagnando un decimo di punto percentuale rispetto a fine 2019. Rispetto a dodici mesi prima, però, l’andamento è negativo con un calo del tessuto artigiano di 81 imprese, pari al -0,7%.</w:t>
      </w:r>
    </w:p>
    <w:p w14:paraId="125B1088" w14:textId="714C826A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Il settore di attività che continua a mostrare la più elevata incidenza artigiana è quello delle costruzioni, che con 4.754 imprese artigiane rappresenta il 76,3% del totale settoriale: rispetto a fine 2019 il comparto ha registrato un incremento di 28 nuove imprese, per un +0,6%. Nel manifatturiero, dove l’incidenza artigiana raggiunge il 61,4%, le imprese artigiane sono invece diminuite di 10 unità (-0,4%), scendendo a 2.583. Il comparto dei servizi, che nel complesso ricomprende 3.680 imprese artigiane, ha perso 5 imprese: la diminuzione più elevata si è registrata nelle “altre attività dei servizi” (-23 unità; -1,6%), ma si sono rilevate lievi contrazioni anche nel settore “commercio e riparazioni auto”, nel “trasporto e magazzinaggio”, nell’”alloggio e ristorazione” e nelle “attività artistiche, sportive, di intrattenimento e divertimento”. Sono invece aumentate le imprese operative nelle “attività di noleggio, agenzie di viaggio e servizi di supporto alle imprese” (+28 unità; +4,6%) e nei “servizi di informazione e comunicazione”. L’incidenza artigiana rimane particolarmente elevata nelle altre attività dei servizi (riparatori, acconciatori, istituti di bellezza, lavanderie, etc.) dove raggiunge il 79,1% (1.418 imprese), nel trasporto e magazzinaggio (58,0%; 488 imprese attive) e nel “noleggio, agenzie di viaggio e servizi di supporto alle imprese” dove arriva al 42,1%.</w:t>
      </w:r>
    </w:p>
    <w:p w14:paraId="4A95F3CB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Le imprese femminili e straniere</w:t>
      </w:r>
    </w:p>
    <w:p w14:paraId="75B68A09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Analizzando il sistema imprenditoriale provinciale dal punto di vista del genere e del paese di nascita degli imprenditori, si riscontrano dinamiche differenziate.</w:t>
      </w:r>
    </w:p>
    <w:p w14:paraId="76DA6C8F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 xml:space="preserve">Le imprese femminili attive, pari a 8.222 unità a fine giugno 2020, sono diminuite del -0,6% (-49 unità) nei primi sei mesi dell’anno, portando la relativa incidenza sul totale imprese al 22,8% (Toscana: 23,8%). Anche la Toscana ha segnato una contrazione analoga, mentre la dinamica nazionale è risultata meno negativa contenendo il calo al -0,3%. </w:t>
      </w:r>
    </w:p>
    <w:p w14:paraId="34839C5E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In provincia l’andamento è risultato eterogeneo, con il settore del commercio (2.305 imprese “in rosa”) che ha segnato una flessione del -2,1% (-50 unità), mentre per le attività di alloggio e ristorazione (1.151 imprese femminili) si è registrato un incremento del +1,4% (+16 imprese) nei primi sei mesi dell’anno. Sono poi diminuite (-0,9%) le altre attività di servizi (acconciatrici, istituti di bellezza, lavanderie, etc.) dove le imprese femminili sono 947, l’agricoltura (724; -3,1%), le attività artistiche, sportive, di intrattenimento e divertimento (260; -1,5%) e quelle finanziarie e assicurative (214; -3,6%). Sono aumentate invece le attività manifatturiere (707 imprese femminili; +2,2%), le attività di affitto e gestione di immobili di proprietà o in leasing (626; +1,1%) e il noleggio, agenzie di viaggio e servizi di supporto alle imprese (344; +2,1%).</w:t>
      </w:r>
    </w:p>
    <w:p w14:paraId="381283B6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 xml:space="preserve">I settori che presentano le più elevate quote di imprese “in rosa” in provincia appartengono ai servizi: le altre attività dei servizi, dove l’incidenza femminile arriva al 53,6%, la sanità e assistenza sociale (41,8%) e l’istruzione (35,8%). Presentano </w:t>
      </w:r>
      <w:r w:rsidRPr="00557320">
        <w:rPr>
          <w:rFonts w:ascii="Verdana" w:hAnsi="Verdana"/>
          <w:sz w:val="22"/>
          <w:szCs w:val="22"/>
          <w:shd w:val="clear" w:color="auto" w:fill="FFFFFF"/>
        </w:rPr>
        <w:lastRenderedPageBreak/>
        <w:t>incidenze femminili significativamente superiori alla media anche i servizi di alloggio e ristorazione (32,7%), le attività agricole (31,0%), le attività artistiche, sportive, di intrattenimento e divertimento (27,7%), le attività di affitto e gestione di immobili di proprietà o in leasing (26,5%) e il commercio (24,9%).</w:t>
      </w:r>
    </w:p>
    <w:p w14:paraId="3953B47C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Le imprese guidate da stranieri sono cresciute del +1,4% nel corso del primo semestre 2020, portandosi a quota 4.117 unità attive in provincia. L’incidenza dell’imprenditoria straniera risulta pari all’11,4%, un valore inferiore a quello medio toscano (15,1%) ma superiore a quello nazionale (10,8%).</w:t>
      </w:r>
    </w:p>
    <w:p w14:paraId="39596DD9" w14:textId="1F341033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Le più elevate numerosità si rilevano per le costruzioni che, con 1.323 imprese attive al 30 giugno e un’incidenza straniera del 21,2%, hanno segnato una crescita del +1,6% nel semestre; segue il commercio (1.170 imprese; incidenza: 12,7%), stabile nel periodo (+0,1%). Più distanti il manifatturiero (362 imprese; incidenza: 8,6%), il noleggio, agenzie di viaggio e servizi di supporto alle imprese (331 unità; incidenza: 21,4%) e l’alloggio e ristorazione (316 unità; incidenza: 9,0%). A far registrare i più elevati tassi di incremento sono le attività professionali, scientifiche e tecniche (+5,3%), il manifatturiero (+4,9%), e le altre attività di servizi (+3,0%), mentre gli altri settori presentano variazioni contenute.</w:t>
      </w:r>
    </w:p>
    <w:p w14:paraId="36D7DFB2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Le imprese sul territorio</w:t>
      </w:r>
    </w:p>
    <w:p w14:paraId="12AD7C8B" w14:textId="77777777" w:rsidR="00557320" w:rsidRPr="00557320" w:rsidRDefault="00557320" w:rsidP="009F641A">
      <w:pPr>
        <w:pStyle w:val="NormaleWeb"/>
        <w:spacing w:before="0" w:after="0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L’andamento interno al territorio provinciale nei primi sei mesi dell’anno evidenzia un incremento del +0,2% del tessuto imprenditoriale in Versilia (16.447; 45,5% del totale provinciale) che guadagna 41 nuove unità; l’area della Piana di Lucca fa segnare invece una diminuzione del -0,3% (-50 unità) scendendo a quota 15.297 imprese (42,3% del totale) a fine giugno; la Valle del Serchio (4.377; 12,2%) registra infine un calo del -0,5% (-20 imprese).</w:t>
      </w:r>
    </w:p>
    <w:p w14:paraId="75A96173" w14:textId="248FA1E9" w:rsidR="00896A16" w:rsidRDefault="00557320" w:rsidP="009F641A">
      <w:pPr>
        <w:pStyle w:val="NormaleWeb"/>
        <w:spacing w:before="0" w:after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557320">
        <w:rPr>
          <w:rFonts w:ascii="Verdana" w:hAnsi="Verdana"/>
          <w:sz w:val="22"/>
          <w:szCs w:val="22"/>
          <w:shd w:val="clear" w:color="auto" w:fill="FFFFFF"/>
        </w:rPr>
        <w:t>Le unità locali attive in provincia al 30 giugno 2020 risultano 44.683, un valore in aumento del +0,1% rispetto a inizio anno. A livello settoriale si rileva un incremento delle unità attive nel settore delle costruzioni (+0,4%) e marginalmente nell’industria (+0,1%), mentre si registra una diminuzione nell’agricoltura (-0,4%). Stabili i servizi.</w:t>
      </w:r>
    </w:p>
    <w:p w14:paraId="03753DC5" w14:textId="36231B2F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7BD69AA9" w14:textId="72F83542" w:rsidR="009F641A" w:rsidRDefault="009F641A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37202C86" w14:textId="6858DAC8" w:rsidR="009F641A" w:rsidRDefault="009F641A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33CE1D26" w14:textId="77777777" w:rsidR="009F641A" w:rsidRDefault="009F641A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3E4255AD" w14:textId="11DD915C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p w14:paraId="7C1E4325" w14:textId="3002E2A5" w:rsidR="00896A16" w:rsidRDefault="00896A16" w:rsidP="00896A16">
      <w:pPr>
        <w:suppressAutoHyphens w:val="0"/>
        <w:jc w:val="both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tbl>
      <w:tblPr>
        <w:tblpPr w:leftFromText="141" w:rightFromText="141" w:vertAnchor="text" w:horzAnchor="margin" w:tblpY="-44"/>
        <w:tblW w:w="95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896A16" w14:paraId="2D2B8B0B" w14:textId="77777777" w:rsidTr="00896A16">
        <w:trPr>
          <w:trHeight w:val="683"/>
        </w:trPr>
        <w:tc>
          <w:tcPr>
            <w:tcW w:w="6015" w:type="dxa"/>
            <w:shd w:val="clear" w:color="auto" w:fill="auto"/>
          </w:tcPr>
          <w:p w14:paraId="70901967" w14:textId="77777777" w:rsidR="00896A16" w:rsidRDefault="00896A16" w:rsidP="00896A1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632B8358" w14:textId="77777777" w:rsidR="00896A16" w:rsidRDefault="00896A16" w:rsidP="00896A1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175ABBC9" w14:textId="77777777" w:rsidR="00896A16" w:rsidRDefault="00896A16" w:rsidP="00896A16">
            <w:pPr>
              <w:pStyle w:val="Contenutotabella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0EE2C851" w14:textId="77777777" w:rsidR="00896A16" w:rsidRDefault="00896A16" w:rsidP="00896A16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81E0A3" wp14:editId="6393BD88">
                  <wp:extent cx="219075" cy="219075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510" t="-510" r="-510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</w:rPr>
              <w:t xml:space="preserve"> </w:t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35DAEF09" wp14:editId="2B1103F0">
                  <wp:extent cx="228600" cy="22860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10" t="-510" r="-510" b="-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</w:rPr>
              <w:t xml:space="preserve"> </w:t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46D0D598" wp14:editId="549F0607">
                  <wp:extent cx="228600" cy="22860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593" t="-593" r="-593" b="-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Calibri"/>
                <w:b/>
                <w:noProof/>
              </w:rPr>
              <w:drawing>
                <wp:inline distT="0" distB="0" distL="0" distR="0" wp14:anchorId="73B72444" wp14:editId="53F729DB">
                  <wp:extent cx="428625" cy="22860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425" t="-791" r="-425" b="-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1FADC" w14:textId="0AE7F5D9" w:rsidR="00896A16" w:rsidRDefault="00896A16" w:rsidP="009F641A">
      <w:pPr>
        <w:suppressAutoHyphens w:val="0"/>
        <w:rPr>
          <w:rFonts w:ascii="Verdana" w:eastAsia="Times New Roman" w:hAnsi="Verdana"/>
          <w:color w:val="000000"/>
          <w:sz w:val="22"/>
          <w:szCs w:val="22"/>
          <w:lang w:eastAsia="it-IT"/>
        </w:rPr>
      </w:pPr>
    </w:p>
    <w:sectPr w:rsidR="00896A16" w:rsidSect="00896A16">
      <w:headerReference w:type="default" r:id="rId11"/>
      <w:footerReference w:type="default" r:id="rId12"/>
      <w:pgSz w:w="11906" w:h="16838"/>
      <w:pgMar w:top="1985" w:right="1134" w:bottom="1418" w:left="1134" w:header="708" w:footer="321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31FDC" w14:textId="77777777" w:rsidR="00034E26" w:rsidRDefault="00034E26">
      <w:r>
        <w:separator/>
      </w:r>
    </w:p>
  </w:endnote>
  <w:endnote w:type="continuationSeparator" w:id="0">
    <w:p w14:paraId="5EC8EB05" w14:textId="77777777" w:rsidR="00034E26" w:rsidRDefault="000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C6B8" w14:textId="77777777" w:rsidR="002704B6" w:rsidRDefault="00034E26">
    <w:pPr>
      <w:jc w:val="center"/>
      <w:rPr>
        <w:rFonts w:ascii="Arial Narrow" w:hAnsi="Arial Narrow" w:cs="Arial Narrow"/>
        <w:color w:val="A09289"/>
        <w:sz w:val="16"/>
      </w:rPr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14FB5A89" w14:textId="77777777" w:rsidR="002704B6" w:rsidRDefault="00034E26">
    <w:pPr>
      <w:ind w:left="851"/>
      <w:jc w:val="center"/>
      <w:rPr>
        <w:lang w:val="en-GB"/>
      </w:rPr>
    </w:pPr>
    <w:proofErr w:type="gramStart"/>
    <w:r>
      <w:rPr>
        <w:rFonts w:ascii="Arial Narrow" w:hAnsi="Arial Narrow" w:cs="Arial Narrow"/>
        <w:color w:val="A09289"/>
        <w:sz w:val="16"/>
        <w:lang w:val="en-GB"/>
      </w:rPr>
      <w:t>cameracommercio@lu.camcom.it  -</w:t>
    </w:r>
    <w:proofErr w:type="gramEnd"/>
    <w:r>
      <w:rPr>
        <w:rFonts w:ascii="Arial Narrow" w:hAnsi="Arial Narrow" w:cs="Arial Narrow"/>
        <w:color w:val="A09289"/>
        <w:sz w:val="16"/>
        <w:lang w:val="en-GB"/>
      </w:rPr>
      <w:t xml:space="preserve">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A6177" w14:textId="77777777" w:rsidR="00034E26" w:rsidRDefault="00034E26">
      <w:r>
        <w:separator/>
      </w:r>
    </w:p>
  </w:footnote>
  <w:footnote w:type="continuationSeparator" w:id="0">
    <w:p w14:paraId="7C325B2A" w14:textId="77777777" w:rsidR="00034E26" w:rsidRDefault="0003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3D7A" w14:textId="77777777" w:rsidR="002704B6" w:rsidRDefault="00034E26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noProof/>
      </w:rPr>
      <w:drawing>
        <wp:anchor distT="0" distB="0" distL="114935" distR="114935" simplePos="0" relativeHeight="7" behindDoc="0" locked="0" layoutInCell="1" allowOverlap="1" wp14:anchorId="0993189E" wp14:editId="6B2411D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8025" cy="537845"/>
          <wp:effectExtent l="0" t="0" r="0" b="0"/>
          <wp:wrapTight wrapText="bothSides">
            <wp:wrapPolygon edited="0">
              <wp:start x="-45" y="0"/>
              <wp:lineTo x="-45" y="20609"/>
              <wp:lineTo x="21422" y="20609"/>
              <wp:lineTo x="21422" y="0"/>
              <wp:lineTo x="-45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808080"/>
        <w:spacing w:val="20"/>
        <w:sz w:val="36"/>
        <w:lang w:val="pt-PT"/>
      </w:rPr>
      <w:t xml:space="preserve"> </w:t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  <w:t>comunicato stampa</w:t>
    </w:r>
  </w:p>
  <w:p w14:paraId="09024385" w14:textId="77777777" w:rsidR="002704B6" w:rsidRDefault="002704B6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</w:p>
  <w:p w14:paraId="36E502C2" w14:textId="77777777" w:rsidR="002704B6" w:rsidRDefault="00034E26">
    <w:pPr>
      <w:pStyle w:val="Intestazione"/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FDE"/>
    <w:multiLevelType w:val="multilevel"/>
    <w:tmpl w:val="02CE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87172"/>
    <w:multiLevelType w:val="multilevel"/>
    <w:tmpl w:val="F8A20E6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A62F57"/>
    <w:multiLevelType w:val="multilevel"/>
    <w:tmpl w:val="D51E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905BD"/>
    <w:multiLevelType w:val="multilevel"/>
    <w:tmpl w:val="B2EA3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EC67A9"/>
    <w:multiLevelType w:val="multilevel"/>
    <w:tmpl w:val="284E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35DD7"/>
    <w:multiLevelType w:val="multilevel"/>
    <w:tmpl w:val="809087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8A17ACC"/>
    <w:multiLevelType w:val="multilevel"/>
    <w:tmpl w:val="754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B6"/>
    <w:rsid w:val="000158D9"/>
    <w:rsid w:val="00034E26"/>
    <w:rsid w:val="0006010E"/>
    <w:rsid w:val="00114F98"/>
    <w:rsid w:val="0011568F"/>
    <w:rsid w:val="001319E9"/>
    <w:rsid w:val="001847D6"/>
    <w:rsid w:val="002704B6"/>
    <w:rsid w:val="00347FBB"/>
    <w:rsid w:val="00373A3D"/>
    <w:rsid w:val="003C7C88"/>
    <w:rsid w:val="0047583D"/>
    <w:rsid w:val="004C2DDC"/>
    <w:rsid w:val="00557320"/>
    <w:rsid w:val="0068517D"/>
    <w:rsid w:val="007059C3"/>
    <w:rsid w:val="00896A16"/>
    <w:rsid w:val="00974109"/>
    <w:rsid w:val="00992C72"/>
    <w:rsid w:val="009F641A"/>
    <w:rsid w:val="00A32BEF"/>
    <w:rsid w:val="00AA015F"/>
    <w:rsid w:val="00AE4C46"/>
    <w:rsid w:val="00AF6FD9"/>
    <w:rsid w:val="00BA6F6C"/>
    <w:rsid w:val="00BE5BE8"/>
    <w:rsid w:val="00C4060B"/>
    <w:rsid w:val="00E93EC3"/>
    <w:rsid w:val="00EB5403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9308"/>
  <w15:docId w15:val="{3F1C0A46-75FB-4889-BB4C-667A331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5">
    <w:name w:val="heading 5"/>
    <w:basedOn w:val="Normale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paragraph" w:styleId="Titolo7">
    <w:name w:val="heading 7"/>
    <w:basedOn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paragraph" w:styleId="Titolo8">
    <w:name w:val="heading 8"/>
    <w:basedOn w:val="Normale"/>
    <w:qFormat/>
    <w:pPr>
      <w:keepNext/>
      <w:jc w:val="both"/>
      <w:outlineLvl w:val="7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MS Mincho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-Caratterepredefinitoparagrafo">
    <w:name w:val="WW-Carattere predefinito paragrafo"/>
    <w:qFormat/>
  </w:style>
  <w:style w:type="character" w:styleId="Enfasigrassetto">
    <w:name w:val="Strong"/>
    <w:uiPriority w:val="22"/>
    <w:qFormat/>
    <w:rPr>
      <w:b/>
      <w:bCs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customStyle="1" w:styleId="filtrilabel">
    <w:name w:val="filtrilabel"/>
    <w:basedOn w:val="WW-Caratterepredefinitoparagrafo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bsatz-Standardschriftart">
    <w:name w:val="Absatz-Standardschriftart"/>
    <w:qFormat/>
  </w:style>
  <w:style w:type="character" w:customStyle="1" w:styleId="Enfasi">
    <w:name w:val="Enfasi"/>
    <w:qFormat/>
    <w:rPr>
      <w:i/>
      <w:i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mk-love-count">
    <w:name w:val="mk-love-count"/>
    <w:basedOn w:val="Carpredefinitoparagrafo"/>
    <w:qFormat/>
  </w:style>
  <w:style w:type="character" w:customStyle="1" w:styleId="element-invisible">
    <w:name w:val="element-invisible"/>
    <w:basedOn w:val="Carpredefinitoparagrafo"/>
    <w:qFormat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5036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otesto">
    <w:name w:val="Body Text"/>
    <w:basedOn w:val="Normale"/>
    <w:semiHidden/>
    <w:rPr>
      <w:rFonts w:ascii="Verdana" w:hAnsi="Verdana" w:cs="Verdana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"/>
    <w:qFormat/>
    <w:pPr>
      <w:jc w:val="center"/>
    </w:pPr>
    <w:rPr>
      <w:i/>
      <w:iCs/>
    </w:rPr>
  </w:style>
  <w:style w:type="paragraph" w:styleId="NormaleWeb">
    <w:name w:val="Normal (Web)"/>
    <w:basedOn w:val="Normale"/>
    <w:uiPriority w:val="99"/>
    <w:semiHidden/>
    <w:qFormat/>
    <w:pPr>
      <w:spacing w:before="280" w:after="280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qFormat/>
    <w:pPr>
      <w:jc w:val="both"/>
    </w:pPr>
  </w:style>
  <w:style w:type="paragraph" w:styleId="Corpodeltesto3">
    <w:name w:val="Body Text 3"/>
    <w:basedOn w:val="Normale"/>
    <w:semiHidden/>
    <w:qFormat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qFormat/>
    <w:pPr>
      <w:spacing w:before="280" w:after="280"/>
    </w:pPr>
    <w:rPr>
      <w:rFonts w:eastAsia="Times New Roman"/>
    </w:rPr>
  </w:style>
  <w:style w:type="paragraph" w:styleId="Rientrocorpodeltesto">
    <w:name w:val="Body Text Indent"/>
    <w:basedOn w:val="Normale"/>
    <w:semiHidden/>
    <w:pPr>
      <w:spacing w:line="276" w:lineRule="auto"/>
      <w:ind w:firstLine="706"/>
      <w:jc w:val="both"/>
    </w:pPr>
    <w:rPr>
      <w:rFonts w:ascii="Verdana" w:hAnsi="Verdana"/>
      <w:i/>
      <w:iCs/>
      <w:sz w:val="22"/>
      <w:szCs w:val="20"/>
    </w:rPr>
  </w:style>
  <w:style w:type="paragraph" w:customStyle="1" w:styleId="Contenutotabella">
    <w:name w:val="Contenuto tabella"/>
    <w:basedOn w:val="Normale"/>
    <w:qFormat/>
    <w:rsid w:val="00050361"/>
    <w:pPr>
      <w:suppressLineNumbers/>
    </w:pPr>
    <w:rPr>
      <w:rFonts w:ascii="Arial" w:eastAsia="Times New Roman" w:hAnsi="Arial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74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66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>CCIAA di Lucca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dc:description/>
  <cp:lastModifiedBy>Ufficio Relazione Esterne</cp:lastModifiedBy>
  <cp:revision>6</cp:revision>
  <cp:lastPrinted>2017-12-13T11:25:00Z</cp:lastPrinted>
  <dcterms:created xsi:type="dcterms:W3CDTF">2020-07-29T09:46:00Z</dcterms:created>
  <dcterms:modified xsi:type="dcterms:W3CDTF">2020-07-31T10:15:00Z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CCIAA di Lucca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