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3429" w14:textId="77777777" w:rsidR="002874B5" w:rsidRDefault="00B04A98" w:rsidP="002874B5">
      <w:pPr>
        <w:tabs>
          <w:tab w:val="left" w:pos="9072"/>
        </w:tabs>
        <w:ind w:right="425"/>
        <w:jc w:val="center"/>
        <w:rPr>
          <w:rFonts w:ascii="Verdana" w:hAnsi="Verdana" w:cs="Arial"/>
          <w:b/>
          <w:bCs/>
          <w:sz w:val="24"/>
          <w:szCs w:val="24"/>
        </w:rPr>
      </w:pPr>
      <w:r w:rsidRPr="00B04A98">
        <w:rPr>
          <w:rFonts w:ascii="Verdana" w:hAnsi="Verdana" w:cs="Arial"/>
          <w:b/>
          <w:bCs/>
          <w:sz w:val="24"/>
          <w:szCs w:val="24"/>
        </w:rPr>
        <w:t xml:space="preserve">I dati del credito nel periodo della pandemia: </w:t>
      </w:r>
    </w:p>
    <w:p w14:paraId="75D7484B" w14:textId="5E5CC091" w:rsidR="004D77BE" w:rsidRDefault="00B04A98" w:rsidP="002874B5">
      <w:pPr>
        <w:tabs>
          <w:tab w:val="left" w:pos="9072"/>
        </w:tabs>
        <w:ind w:right="425"/>
        <w:jc w:val="center"/>
        <w:rPr>
          <w:rFonts w:ascii="Verdana" w:hAnsi="Verdana" w:cs="Arial"/>
          <w:b/>
          <w:bCs/>
          <w:sz w:val="24"/>
          <w:szCs w:val="24"/>
        </w:rPr>
      </w:pPr>
      <w:r w:rsidRPr="00B04A98">
        <w:rPr>
          <w:rFonts w:ascii="Verdana" w:hAnsi="Verdana" w:cs="Arial"/>
          <w:b/>
          <w:bCs/>
          <w:sz w:val="24"/>
          <w:szCs w:val="24"/>
        </w:rPr>
        <w:t>nel bene e nel male, Lucca si distingue</w:t>
      </w:r>
    </w:p>
    <w:p w14:paraId="275452F1" w14:textId="5242ABDA" w:rsidR="002874B5" w:rsidRPr="002874B5" w:rsidRDefault="002874B5" w:rsidP="002874B5">
      <w:pPr>
        <w:tabs>
          <w:tab w:val="left" w:pos="9072"/>
        </w:tabs>
        <w:ind w:right="425"/>
        <w:jc w:val="center"/>
        <w:rPr>
          <w:rFonts w:ascii="Verdana" w:hAnsi="Verdana" w:cs="Arial"/>
          <w:sz w:val="22"/>
          <w:szCs w:val="22"/>
        </w:rPr>
      </w:pPr>
      <w:r w:rsidRPr="002874B5">
        <w:rPr>
          <w:rFonts w:ascii="Verdana" w:hAnsi="Verdana" w:cs="Arial"/>
          <w:sz w:val="22"/>
          <w:szCs w:val="22"/>
        </w:rPr>
        <w:t>Se ne è parlato questa mattina presso la Camera di commercio di Lucca</w:t>
      </w:r>
    </w:p>
    <w:p w14:paraId="64799886" w14:textId="77777777" w:rsidR="002874B5" w:rsidRDefault="002874B5" w:rsidP="00B04A98">
      <w:pPr>
        <w:spacing w:after="120"/>
        <w:ind w:right="425"/>
        <w:jc w:val="both"/>
        <w:rPr>
          <w:rFonts w:ascii="Verdana" w:hAnsi="Verdana" w:cs="Arial"/>
          <w:i/>
          <w:sz w:val="22"/>
          <w:szCs w:val="22"/>
        </w:rPr>
      </w:pPr>
    </w:p>
    <w:p w14:paraId="1BDB2471" w14:textId="2B4DD88E" w:rsidR="00B04A98" w:rsidRPr="00B04A98" w:rsidRDefault="007C6D77" w:rsidP="00B04A98">
      <w:pPr>
        <w:spacing w:after="120"/>
        <w:ind w:right="425"/>
        <w:jc w:val="both"/>
        <w:rPr>
          <w:rFonts w:ascii="Verdana" w:hAnsi="Verdana"/>
          <w:sz w:val="22"/>
          <w:szCs w:val="22"/>
        </w:rPr>
      </w:pPr>
      <w:r w:rsidRPr="004F551E">
        <w:rPr>
          <w:rFonts w:ascii="Verdana" w:hAnsi="Verdana" w:cs="Arial"/>
          <w:i/>
          <w:sz w:val="22"/>
          <w:szCs w:val="22"/>
        </w:rPr>
        <w:t xml:space="preserve">Lucca, </w:t>
      </w:r>
      <w:r w:rsidR="00113280" w:rsidRPr="004F551E">
        <w:rPr>
          <w:rFonts w:ascii="Verdana" w:hAnsi="Verdana" w:cs="Arial"/>
          <w:i/>
          <w:sz w:val="22"/>
          <w:szCs w:val="22"/>
        </w:rPr>
        <w:t>2</w:t>
      </w:r>
      <w:r w:rsidR="004D77BE">
        <w:rPr>
          <w:rFonts w:ascii="Verdana" w:hAnsi="Verdana" w:cs="Arial"/>
          <w:i/>
          <w:sz w:val="22"/>
          <w:szCs w:val="22"/>
        </w:rPr>
        <w:t>1</w:t>
      </w:r>
      <w:r w:rsidR="003D60C9" w:rsidRPr="004F551E">
        <w:rPr>
          <w:rFonts w:ascii="Verdana" w:hAnsi="Verdana" w:cs="Arial"/>
          <w:i/>
          <w:sz w:val="22"/>
          <w:szCs w:val="22"/>
        </w:rPr>
        <w:t xml:space="preserve"> aprile</w:t>
      </w:r>
      <w:r w:rsidRPr="004F551E">
        <w:rPr>
          <w:rFonts w:ascii="Verdana" w:hAnsi="Verdana" w:cs="Arial"/>
          <w:i/>
          <w:sz w:val="22"/>
          <w:szCs w:val="22"/>
        </w:rPr>
        <w:t xml:space="preserve"> 2022</w:t>
      </w:r>
      <w:r w:rsidRPr="004F551E">
        <w:rPr>
          <w:rFonts w:ascii="Verdana" w:hAnsi="Verdana"/>
          <w:sz w:val="22"/>
          <w:szCs w:val="22"/>
        </w:rPr>
        <w:t xml:space="preserve"> </w:t>
      </w:r>
      <w:r w:rsidR="00113280" w:rsidRPr="004F551E">
        <w:rPr>
          <w:rFonts w:ascii="Verdana" w:hAnsi="Verdana"/>
          <w:sz w:val="22"/>
          <w:szCs w:val="22"/>
        </w:rPr>
        <w:t xml:space="preserve">– </w:t>
      </w:r>
      <w:r w:rsidR="00B04A98" w:rsidRPr="00B04A98">
        <w:rPr>
          <w:rFonts w:ascii="Verdana" w:hAnsi="Verdana"/>
          <w:sz w:val="22"/>
          <w:szCs w:val="22"/>
        </w:rPr>
        <w:t>La pandemia ha accelerato il cambiamento del modo di operare di risparmiatori e imprese nei confronti del sistema bancario. Il rapporto tra banche e clienti è mutato rapidamente, con una crescita dei rapporti telematici e a distanza: ciò ha accelerato il processo di riorganizzazione territoriale, che era già in atto, con una riduzione degli sportelli per contenere i costi e accrescere l’efficienza dei servizi.</w:t>
      </w:r>
    </w:p>
    <w:p w14:paraId="4111BB8C" w14:textId="69B3CAC2" w:rsidR="00B04A98" w:rsidRPr="00B04A98" w:rsidRDefault="00B04A98" w:rsidP="00B04A98">
      <w:pPr>
        <w:spacing w:after="120"/>
        <w:ind w:right="425"/>
        <w:jc w:val="both"/>
        <w:rPr>
          <w:rFonts w:ascii="Verdana" w:hAnsi="Verdana"/>
          <w:sz w:val="22"/>
          <w:szCs w:val="22"/>
        </w:rPr>
      </w:pPr>
      <w:r w:rsidRPr="00B04A98">
        <w:rPr>
          <w:rFonts w:ascii="Verdana" w:hAnsi="Verdana"/>
          <w:sz w:val="22"/>
          <w:szCs w:val="22"/>
        </w:rPr>
        <w:t>Nel corso dell’ultimo biennio gli sportelli bancari presenti in provincia di Lucca sono scesi a 170 (chiusi 18 sportelli negli ultimi due anni), abbandonando anche 4 comuni della provincia dal 2017 (3 nel 2021). Con ciò Lucca ha perso la posizione di vantaggio che aveva in passato.</w:t>
      </w:r>
    </w:p>
    <w:p w14:paraId="6054C20C" w14:textId="77777777" w:rsidR="00B04A98" w:rsidRPr="00B04A98" w:rsidRDefault="00B04A98" w:rsidP="00B04A98">
      <w:pPr>
        <w:spacing w:after="120"/>
        <w:ind w:right="425"/>
        <w:jc w:val="both"/>
        <w:rPr>
          <w:rFonts w:ascii="Verdana" w:hAnsi="Verdana"/>
          <w:sz w:val="22"/>
          <w:szCs w:val="22"/>
        </w:rPr>
      </w:pPr>
      <w:r w:rsidRPr="00B04A98">
        <w:rPr>
          <w:rFonts w:ascii="Verdana" w:hAnsi="Verdana"/>
          <w:sz w:val="22"/>
          <w:szCs w:val="22"/>
        </w:rPr>
        <w:t>Tuttavia, il numero di abitanti per sportello bancario (2.246) risulta poco sopra la media toscana e migliore della media nazionale e, considerati anche gli sportelli di Bancoposta, la provincia appare servita ancora in misura sufficiente.</w:t>
      </w:r>
    </w:p>
    <w:p w14:paraId="2EA53E8C" w14:textId="77777777" w:rsidR="00B04A98" w:rsidRPr="00B04A98" w:rsidRDefault="00B04A98" w:rsidP="00B04A98">
      <w:pPr>
        <w:spacing w:after="120"/>
        <w:ind w:right="425"/>
        <w:jc w:val="both"/>
        <w:rPr>
          <w:rFonts w:ascii="Verdana" w:hAnsi="Verdana"/>
          <w:sz w:val="22"/>
          <w:szCs w:val="22"/>
        </w:rPr>
      </w:pPr>
      <w:r w:rsidRPr="00B04A98">
        <w:rPr>
          <w:rFonts w:ascii="Verdana" w:hAnsi="Verdana"/>
          <w:sz w:val="22"/>
          <w:szCs w:val="22"/>
        </w:rPr>
        <w:t>Il numero dei POS – Point of sale (25.852) è risultato in calo nel 2020 (ultimo dato disponibile) per la riduzione delle attività; è diminuito anche il numero degli ATM (274) per la chiusura degli sportelli bancari.</w:t>
      </w:r>
    </w:p>
    <w:p w14:paraId="145D41D3" w14:textId="28C88445" w:rsidR="00B04A98" w:rsidRDefault="00B04A98" w:rsidP="00B04A98">
      <w:pPr>
        <w:spacing w:after="120"/>
        <w:ind w:right="425"/>
        <w:jc w:val="both"/>
        <w:rPr>
          <w:rFonts w:ascii="Verdana" w:hAnsi="Verdana"/>
          <w:sz w:val="22"/>
          <w:szCs w:val="22"/>
        </w:rPr>
      </w:pPr>
      <w:r w:rsidRPr="00B04A98">
        <w:rPr>
          <w:rFonts w:ascii="Verdana" w:hAnsi="Verdana"/>
          <w:sz w:val="22"/>
          <w:szCs w:val="22"/>
        </w:rPr>
        <w:t>Se ne è parlato alla Camera di Commercio di Lucca nel corso dell’annuale incontro sul credito. Dopo i saluti del Commissario Straordinario della Camera di Commercio di Lucca Giorgio Bartoli, Giuliano Dini, già direttore della filiale di Lucca della Banca d’Italia, ha presentato l’analisi dei principali andamenti degli aggregati creditizi nell’anno 2021 e nel periodo della pandemia, elaborati a partire dalle informazioni statistiche ufficiali della Banca d’Italia.</w:t>
      </w:r>
    </w:p>
    <w:p w14:paraId="6D74B767" w14:textId="77777777" w:rsidR="00891C78" w:rsidRPr="00906E2F" w:rsidRDefault="00891C78" w:rsidP="00891C78">
      <w:pPr>
        <w:spacing w:after="120"/>
        <w:ind w:right="425"/>
        <w:jc w:val="both"/>
        <w:rPr>
          <w:rFonts w:ascii="Verdana" w:hAnsi="Verdana"/>
          <w:sz w:val="22"/>
          <w:szCs w:val="22"/>
        </w:rPr>
      </w:pPr>
      <w:r w:rsidRPr="00B04A98">
        <w:rPr>
          <w:rFonts w:ascii="Verdana" w:hAnsi="Verdana"/>
          <w:sz w:val="22"/>
          <w:szCs w:val="22"/>
        </w:rPr>
        <w:t xml:space="preserve">“Nell’attuale fase economica, caratterizzata dai profondi cambiamenti che la crisi sanitaria e l’instabilità geopolitica impongono al mondo imprenditoriale, le nostre aziende hanno bisogno del supporto del sistema bancario e di politiche di accompagnamento per riorganizzarsi e rinnovarsi in uno scenario completamente diverso dal passato -ha dichiarato </w:t>
      </w:r>
      <w:r w:rsidRPr="00B04A98">
        <w:rPr>
          <w:rFonts w:ascii="Verdana" w:hAnsi="Verdana"/>
          <w:b/>
          <w:bCs/>
          <w:sz w:val="22"/>
          <w:szCs w:val="22"/>
        </w:rPr>
        <w:t>Giorgio Bartoli</w:t>
      </w:r>
      <w:r w:rsidRPr="00B04A98">
        <w:rPr>
          <w:rFonts w:ascii="Verdana" w:hAnsi="Verdana"/>
          <w:sz w:val="22"/>
          <w:szCs w:val="22"/>
        </w:rPr>
        <w:t>, Commissario Straordinario della Camera di Commercio di Lucca</w:t>
      </w:r>
      <w:r>
        <w:rPr>
          <w:rFonts w:ascii="Verdana" w:hAnsi="Verdana"/>
          <w:sz w:val="22"/>
          <w:szCs w:val="22"/>
        </w:rPr>
        <w:t xml:space="preserve"> </w:t>
      </w:r>
      <w:r w:rsidRPr="00B04A98">
        <w:rPr>
          <w:rFonts w:ascii="Verdana" w:hAnsi="Verdana"/>
          <w:sz w:val="22"/>
          <w:szCs w:val="22"/>
        </w:rPr>
        <w:t>– La grande incertezza presente sui mercati, e la prospettiva di un aumento dei tassi di interesse per rallentare l’ascesa dei prezzi, potrebbero frenare ulteriormente la propensione a investire delle imprese, fenomeno già in atto a Lucca nel 2021.”</w:t>
      </w:r>
    </w:p>
    <w:p w14:paraId="58B301A2" w14:textId="77777777" w:rsidR="00B04A98" w:rsidRPr="00B04A98" w:rsidRDefault="00B04A98" w:rsidP="00B04A98">
      <w:pPr>
        <w:spacing w:after="120"/>
        <w:ind w:right="425"/>
        <w:jc w:val="both"/>
        <w:rPr>
          <w:rFonts w:ascii="Verdana" w:hAnsi="Verdana"/>
          <w:sz w:val="22"/>
          <w:szCs w:val="22"/>
        </w:rPr>
      </w:pPr>
      <w:r w:rsidRPr="00B04A98">
        <w:rPr>
          <w:rFonts w:ascii="Verdana" w:hAnsi="Verdana"/>
          <w:sz w:val="22"/>
          <w:szCs w:val="22"/>
        </w:rPr>
        <w:t xml:space="preserve">La raccolta del risparmio è aumentata sensibilmente: l’incertezza sulle prospettive future ha indotto famiglie e imprese ad accrescere la preferenza per la liquidità. Il biennio 2020-21 ha visto un notevole aumento del risparmio bancario e finanziario, a Lucca più che nelle altre province toscane. </w:t>
      </w:r>
    </w:p>
    <w:p w14:paraId="665296B7" w14:textId="77777777" w:rsidR="00B04A98" w:rsidRPr="00B04A98" w:rsidRDefault="00B04A98" w:rsidP="00B04A98">
      <w:pPr>
        <w:spacing w:after="120"/>
        <w:ind w:right="425"/>
        <w:jc w:val="both"/>
        <w:rPr>
          <w:rFonts w:ascii="Verdana" w:hAnsi="Verdana"/>
          <w:sz w:val="22"/>
          <w:szCs w:val="22"/>
        </w:rPr>
      </w:pPr>
      <w:r w:rsidRPr="00B04A98">
        <w:rPr>
          <w:rFonts w:ascii="Verdana" w:hAnsi="Verdana"/>
          <w:sz w:val="22"/>
          <w:szCs w:val="22"/>
        </w:rPr>
        <w:t>I depositi bancari e il risparmio postale hanno raggiunto gli 11.638 milioni di euro a Lucca nel 2021, con un aumento del +9,1% nell’anno (+966 milioni). Il risparmio delle famiglie (7.919 milioni) è cresciuto del +5,5%, mentre quello delle imprese più piccole (699 milioni) è salito del +19,2% e quello delle imprese sopra 20 addetti (2.550 milioni) del +14,3%.</w:t>
      </w:r>
    </w:p>
    <w:p w14:paraId="096CD5C8" w14:textId="77777777" w:rsidR="00B04A98" w:rsidRPr="00B04A98" w:rsidRDefault="00B04A98" w:rsidP="00B04A98">
      <w:pPr>
        <w:spacing w:after="120"/>
        <w:ind w:right="425"/>
        <w:jc w:val="both"/>
        <w:rPr>
          <w:rFonts w:ascii="Verdana" w:hAnsi="Verdana"/>
          <w:sz w:val="22"/>
          <w:szCs w:val="22"/>
        </w:rPr>
      </w:pPr>
      <w:r w:rsidRPr="00B04A98">
        <w:rPr>
          <w:rFonts w:ascii="Verdana" w:hAnsi="Verdana"/>
          <w:sz w:val="22"/>
          <w:szCs w:val="22"/>
        </w:rPr>
        <w:t>La raccolta indiretta (titoli in gestione e a custodia) ha mostrato una flessione nella fase di inizio pandemia per una diffusa preferenza per la liquidità, ma ha poi recuperato sensibilmente fino a 6.823 milioni (+8,7%) nel 2021: le famiglie hanno toccato i 5.753 milioni, un valore in crescita del +8,8% che consolida Lucca al vertice in Toscana dopo Firenze, ma anche per le attività produttive si è registrato un significativo incremento (422 milioni; +25,9%).</w:t>
      </w:r>
    </w:p>
    <w:p w14:paraId="2F521154" w14:textId="77777777" w:rsidR="00B04A98" w:rsidRPr="00B04A98" w:rsidRDefault="00B04A98" w:rsidP="00B04A98">
      <w:pPr>
        <w:spacing w:after="120"/>
        <w:ind w:right="425"/>
        <w:jc w:val="both"/>
        <w:rPr>
          <w:rFonts w:ascii="Verdana" w:hAnsi="Verdana"/>
          <w:sz w:val="22"/>
          <w:szCs w:val="22"/>
        </w:rPr>
      </w:pPr>
      <w:r w:rsidRPr="00B04A98">
        <w:rPr>
          <w:rFonts w:ascii="Verdana" w:hAnsi="Verdana"/>
          <w:sz w:val="22"/>
          <w:szCs w:val="22"/>
        </w:rPr>
        <w:t xml:space="preserve">Le famiglie lucchesi hanno fatto ricorso al credito in misura mediamente prudente e contenuta. Le imprese, con i sostegni ottenuti, le rinegoziazioni e le moratorie, hanno effettuato in parte un travaso dal credito a breve verso quello a medio e lungo termine, con l’allungamento delle scadenze e un alleggerimento delle difficoltà finanziarie. </w:t>
      </w:r>
    </w:p>
    <w:p w14:paraId="7A6F9BC7" w14:textId="77777777" w:rsidR="00B04A98" w:rsidRPr="00B04A98" w:rsidRDefault="00B04A98" w:rsidP="00B04A98">
      <w:pPr>
        <w:spacing w:after="120"/>
        <w:ind w:right="425"/>
        <w:jc w:val="both"/>
        <w:rPr>
          <w:rFonts w:ascii="Verdana" w:hAnsi="Verdana"/>
          <w:sz w:val="22"/>
          <w:szCs w:val="22"/>
        </w:rPr>
      </w:pPr>
      <w:r w:rsidRPr="00B04A98">
        <w:rPr>
          <w:rFonts w:ascii="Verdana" w:hAnsi="Verdana"/>
          <w:sz w:val="22"/>
          <w:szCs w:val="22"/>
        </w:rPr>
        <w:t>Se fino al 2019 la richiesta di credito era cresciuta più che nelle altre aree, dall’inizio della pandemia i prestiti (al netto delle sofferenze), pur in un contesto di disponibilità delle banche e di tassi di interesse contenuti, hanno presentato una diminuzione maggiore di tutte le aree di confronto, riprendendosi a fine 2020 (+1,6% sui 12 mesi) ma rimanendo su bassi livelli di crescita; nel 2021 si è registrata una lieve ripresa fino ad aprile, per poi scendere progressivamente a 9.211 milioni a fine anno, con un -2,7% che rappresenta il valore peggiore in Toscana.</w:t>
      </w:r>
    </w:p>
    <w:p w14:paraId="26B82073" w14:textId="77777777" w:rsidR="00B04A98" w:rsidRPr="00B04A98" w:rsidRDefault="00B04A98" w:rsidP="00B04A98">
      <w:pPr>
        <w:spacing w:after="120"/>
        <w:ind w:right="425"/>
        <w:jc w:val="both"/>
        <w:rPr>
          <w:rFonts w:ascii="Verdana" w:hAnsi="Verdana"/>
          <w:sz w:val="22"/>
          <w:szCs w:val="22"/>
        </w:rPr>
      </w:pPr>
      <w:r w:rsidRPr="00B04A98">
        <w:rPr>
          <w:rFonts w:ascii="Verdana" w:hAnsi="Verdana"/>
          <w:sz w:val="22"/>
          <w:szCs w:val="22"/>
        </w:rPr>
        <w:t>Le famiglie sono apparse attente nel ricorso all’indebitamento nel 2021 (3.964 milioni; +3,4%), restando sotto la media toscana e italiana. Per le piccole imprese il credito è stato supportato dai sostegni e dalle moratorie posti in essere: dopo la crescita del 2020 (+6,8%), l’incremento è proseguito anche nel primo semestre 2021 ma si è poi indebolito attestandosi al +1,4% a fine anno (1.016 milioni).</w:t>
      </w:r>
    </w:p>
    <w:p w14:paraId="00C198B3" w14:textId="77777777" w:rsidR="00B04A98" w:rsidRPr="00B04A98" w:rsidRDefault="00B04A98" w:rsidP="00B04A98">
      <w:pPr>
        <w:spacing w:after="120"/>
        <w:ind w:right="425"/>
        <w:jc w:val="both"/>
        <w:rPr>
          <w:rFonts w:ascii="Verdana" w:hAnsi="Verdana"/>
          <w:sz w:val="22"/>
          <w:szCs w:val="22"/>
        </w:rPr>
      </w:pPr>
      <w:r w:rsidRPr="00B04A98">
        <w:rPr>
          <w:rFonts w:ascii="Verdana" w:hAnsi="Verdana"/>
          <w:sz w:val="22"/>
          <w:szCs w:val="22"/>
        </w:rPr>
        <w:t xml:space="preserve">Nei due anni di restrizioni covid, pur restando differenziate le difficoltà delle piccole imprese, il credito è stato diffusamente supportato dai sostegni posti in essere. Pertanto, rispetto al periodo di </w:t>
      </w:r>
      <w:proofErr w:type="spellStart"/>
      <w:r w:rsidRPr="00B04A98">
        <w:rPr>
          <w:rFonts w:ascii="Verdana" w:hAnsi="Verdana"/>
          <w:sz w:val="22"/>
          <w:szCs w:val="22"/>
        </w:rPr>
        <w:t>pre</w:t>
      </w:r>
      <w:proofErr w:type="spellEnd"/>
      <w:r w:rsidRPr="00B04A98">
        <w:rPr>
          <w:rFonts w:ascii="Verdana" w:hAnsi="Verdana"/>
          <w:sz w:val="22"/>
          <w:szCs w:val="22"/>
        </w:rPr>
        <w:t xml:space="preserve">-pandemia nettamente negativo, nel 2020 il credito ha registrato una crescita per le aziende sotto 20 addetti (+6,8%, nella fascia alta delle province e sopra la media italiana), proseguito anche nel 2021 (ad aprile +9,7%) per poi indebolirsi e flettere sempre più nella seconda parte dell’anno ed arrivare a 1.016 milioni (solo +1,4% a fine anno). </w:t>
      </w:r>
    </w:p>
    <w:p w14:paraId="1E0BB1FE" w14:textId="77777777" w:rsidR="00B04A98" w:rsidRPr="00B04A98" w:rsidRDefault="00B04A98" w:rsidP="00B04A98">
      <w:pPr>
        <w:spacing w:after="120"/>
        <w:ind w:right="425"/>
        <w:jc w:val="both"/>
        <w:rPr>
          <w:rFonts w:ascii="Verdana" w:hAnsi="Verdana"/>
          <w:sz w:val="22"/>
          <w:szCs w:val="22"/>
        </w:rPr>
      </w:pPr>
      <w:r w:rsidRPr="00B04A98">
        <w:rPr>
          <w:rFonts w:ascii="Verdana" w:hAnsi="Verdana"/>
          <w:sz w:val="22"/>
          <w:szCs w:val="22"/>
        </w:rPr>
        <w:t>Gli impieghi delle imprese artigiane vere e proprie sono cresciuti più delle aree di confronto. In particolare, al netto delle sofferenze (13 milioni) ridottesi a Lucca più che altrove, gli impieghi vivi (253 milioni) sono aumentati del 2,8% collocando Lucca nella fascia migliore delle province.</w:t>
      </w:r>
    </w:p>
    <w:p w14:paraId="41B82222" w14:textId="77777777" w:rsidR="00B04A98" w:rsidRPr="00B04A98" w:rsidRDefault="00B04A98" w:rsidP="00B04A98">
      <w:pPr>
        <w:spacing w:after="120"/>
        <w:ind w:right="425"/>
        <w:jc w:val="both"/>
        <w:rPr>
          <w:rFonts w:ascii="Verdana" w:hAnsi="Verdana"/>
          <w:sz w:val="22"/>
          <w:szCs w:val="22"/>
        </w:rPr>
      </w:pPr>
      <w:r w:rsidRPr="00B04A98">
        <w:rPr>
          <w:rFonts w:ascii="Verdana" w:hAnsi="Verdana"/>
          <w:sz w:val="22"/>
          <w:szCs w:val="22"/>
        </w:rPr>
        <w:t>Per le imprese di maggiori dimensioni (20 addetti e oltre) i prestiti risultano in calo da inizio 2020, e nell’anno trascorso sono ulteriormente diminuiti a 3.938 milioni, un valore ancora elevato ma in flessione del -9,3%. Il credito al settore manifatturiero lucchese (1.744 milioni), che dal 2017 aveva ripreso a crescere, nel 2021 è diminuito del -17,2%, con un basso utilizzo dei fidi accordati, sceso dal 66,1% del 2019 al 57,8% del 2021.</w:t>
      </w:r>
    </w:p>
    <w:p w14:paraId="500254EB" w14:textId="77777777" w:rsidR="00B04A98" w:rsidRPr="00B04A98" w:rsidRDefault="00B04A98" w:rsidP="00B04A98">
      <w:pPr>
        <w:spacing w:after="120"/>
        <w:ind w:right="425"/>
        <w:jc w:val="both"/>
        <w:rPr>
          <w:rFonts w:ascii="Verdana" w:hAnsi="Verdana"/>
          <w:sz w:val="22"/>
          <w:szCs w:val="22"/>
        </w:rPr>
      </w:pPr>
      <w:r w:rsidRPr="00B04A98">
        <w:rPr>
          <w:rFonts w:ascii="Verdana" w:hAnsi="Verdana"/>
          <w:sz w:val="22"/>
          <w:szCs w:val="22"/>
        </w:rPr>
        <w:t>Anche per i servizi gli impieghi sono diminuiti nel 2021 (-2,1%; 2.772 milioni), con una flessione nell’utilizzo delle linee di credito, scese dall’82,3% del 2019 al 76,8% del 2021; i finanziamenti alle costruzioni, in diminuzione da anni, con i sostegni all’edilizia hanno ripreso a crescere a Lucca più che in altre province, raggiungendo i 324 milioni a fine 2021 (+8,6%).</w:t>
      </w:r>
    </w:p>
    <w:p w14:paraId="0480A65F" w14:textId="77777777" w:rsidR="00B04A98" w:rsidRPr="00B04A98" w:rsidRDefault="00B04A98" w:rsidP="00B04A98">
      <w:pPr>
        <w:spacing w:after="120"/>
        <w:ind w:right="425"/>
        <w:jc w:val="both"/>
        <w:rPr>
          <w:rFonts w:ascii="Verdana" w:hAnsi="Verdana"/>
          <w:sz w:val="22"/>
          <w:szCs w:val="22"/>
        </w:rPr>
      </w:pPr>
      <w:r w:rsidRPr="00B04A98">
        <w:rPr>
          <w:rFonts w:ascii="Verdana" w:hAnsi="Verdana"/>
          <w:sz w:val="22"/>
          <w:szCs w:val="22"/>
        </w:rPr>
        <w:t xml:space="preserve">La consistenza dei finanziamenti a medio e lungo termine ha registrato un aumento nel corso del 2020 per poi scendere a 8.359 milioni a fine 2021 (-0,6% sui 12 mesi, la peggiore in Toscana). Le erogazioni, pari a 2.486 milioni nel 2021, sono diminuite del -17,6% nell’anno, dopo la crescita del 2020 (+16,5%). </w:t>
      </w:r>
    </w:p>
    <w:p w14:paraId="567B4CAC" w14:textId="77777777" w:rsidR="00B04A98" w:rsidRPr="00B04A98" w:rsidRDefault="00B04A98" w:rsidP="00B04A98">
      <w:pPr>
        <w:spacing w:after="120"/>
        <w:ind w:right="425"/>
        <w:jc w:val="both"/>
        <w:rPr>
          <w:rFonts w:ascii="Verdana" w:hAnsi="Verdana"/>
          <w:sz w:val="22"/>
          <w:szCs w:val="22"/>
        </w:rPr>
      </w:pPr>
      <w:r w:rsidRPr="00B04A98">
        <w:rPr>
          <w:rFonts w:ascii="Verdana" w:hAnsi="Verdana"/>
          <w:sz w:val="22"/>
          <w:szCs w:val="22"/>
        </w:rPr>
        <w:t>Per le imprese il credito a medio e lungo termine a fine 2021 risulta pari a 4.685 milioni, sotto la sola Firenze, in diminuzione del -5,5% nell’anno.</w:t>
      </w:r>
    </w:p>
    <w:p w14:paraId="53394B3C" w14:textId="77777777" w:rsidR="00B04A98" w:rsidRPr="00B04A98" w:rsidRDefault="00B04A98" w:rsidP="00B04A98">
      <w:pPr>
        <w:spacing w:after="120"/>
        <w:ind w:right="425"/>
        <w:jc w:val="both"/>
        <w:rPr>
          <w:rFonts w:ascii="Verdana" w:hAnsi="Verdana"/>
          <w:sz w:val="22"/>
          <w:szCs w:val="22"/>
        </w:rPr>
      </w:pPr>
      <w:r w:rsidRPr="00B04A98">
        <w:rPr>
          <w:rFonts w:ascii="Verdana" w:hAnsi="Verdana"/>
          <w:sz w:val="22"/>
          <w:szCs w:val="22"/>
        </w:rPr>
        <w:t>I finanziamenti oltre il breve termine per investimenti finanziari (collegati anche ai sostegni pubblici) hanno raggiunto i 3.893 milioni nel 2021, al primo posto in Toscana dopo Firenze ma con il minor aumento (+0,5% annuo); quelli per investimenti in macchine, attrezzature, mezzi di trasporto e prodotti vari, sono scesi a 523 milioni a fine 2021, in flessione del -24,4% e con erogazioni annuali al comparto scese a 202 milioni (-48,9%).</w:t>
      </w:r>
    </w:p>
    <w:p w14:paraId="58081416" w14:textId="77777777" w:rsidR="00B04A98" w:rsidRPr="00B04A98" w:rsidRDefault="00B04A98" w:rsidP="00B04A98">
      <w:pPr>
        <w:spacing w:after="120"/>
        <w:ind w:right="425"/>
        <w:jc w:val="both"/>
        <w:rPr>
          <w:rFonts w:ascii="Verdana" w:hAnsi="Verdana"/>
          <w:sz w:val="22"/>
          <w:szCs w:val="22"/>
        </w:rPr>
      </w:pPr>
      <w:r w:rsidRPr="00B04A98">
        <w:rPr>
          <w:rFonts w:ascii="Verdana" w:hAnsi="Verdana"/>
          <w:sz w:val="22"/>
          <w:szCs w:val="22"/>
        </w:rPr>
        <w:t>In un contesto di tradizionale basso indebitamento, le famiglie lucchesi hanno utilizzato i finanziamenti principalmente per l’acquisto di abitazioni (2.583 milioni; +7,8%), con erogazioni in forte crescita nell’anno (458 milioni; +30,4%).</w:t>
      </w:r>
    </w:p>
    <w:p w14:paraId="48F78149" w14:textId="77777777" w:rsidR="00B04A98" w:rsidRPr="00B04A98" w:rsidRDefault="00B04A98" w:rsidP="00B04A98">
      <w:pPr>
        <w:spacing w:after="120"/>
        <w:ind w:right="425"/>
        <w:jc w:val="both"/>
        <w:rPr>
          <w:rFonts w:ascii="Verdana" w:hAnsi="Verdana"/>
          <w:sz w:val="22"/>
          <w:szCs w:val="22"/>
        </w:rPr>
      </w:pPr>
      <w:r w:rsidRPr="00B04A98">
        <w:rPr>
          <w:rFonts w:ascii="Verdana" w:hAnsi="Verdana"/>
          <w:sz w:val="22"/>
          <w:szCs w:val="22"/>
        </w:rPr>
        <w:t>Il credito al consumo (1.091 milioni), cresciuto nell’ultimo anno del +3,0% (tra i più bassi incrementi in regione), risulta destinato in buona parte all’acquisto di “beni durevoli a medio e lungo termine” (372 milioni; +2,1%), con erogazioni salite del +6,5% nel 2021 (136 milioni).</w:t>
      </w:r>
    </w:p>
    <w:p w14:paraId="5A279992" w14:textId="77777777" w:rsidR="00B04A98" w:rsidRPr="00B04A98" w:rsidRDefault="00B04A98" w:rsidP="00B04A98">
      <w:pPr>
        <w:spacing w:after="120"/>
        <w:ind w:right="425"/>
        <w:jc w:val="both"/>
        <w:rPr>
          <w:rFonts w:ascii="Verdana" w:hAnsi="Verdana"/>
          <w:sz w:val="22"/>
          <w:szCs w:val="22"/>
        </w:rPr>
      </w:pPr>
      <w:r w:rsidRPr="00B04A98">
        <w:rPr>
          <w:rFonts w:ascii="Verdana" w:hAnsi="Verdana"/>
          <w:sz w:val="22"/>
          <w:szCs w:val="22"/>
        </w:rPr>
        <w:t>È proseguita la diminuzione delle sofferenze, scese a 261 milioni (-27,7%) a fine 2021 per effetto di rilevanti ammortamenti e cessioni da parte delle aziende di credito; soprattutto per i settori economici produttivi (piccole e grandi imprese) le sofferenze (212 milioni) sono diminuite del -30,7% sui 12 mesi.</w:t>
      </w:r>
    </w:p>
    <w:p w14:paraId="3C3B5DE4" w14:textId="77777777" w:rsidR="00B04A98" w:rsidRPr="00B04A98" w:rsidRDefault="00B04A98" w:rsidP="00B04A98">
      <w:pPr>
        <w:spacing w:after="120"/>
        <w:ind w:right="425"/>
        <w:jc w:val="both"/>
        <w:rPr>
          <w:rFonts w:ascii="Verdana" w:hAnsi="Verdana"/>
          <w:sz w:val="22"/>
          <w:szCs w:val="22"/>
        </w:rPr>
      </w:pPr>
      <w:r w:rsidRPr="00B04A98">
        <w:rPr>
          <w:rFonts w:ascii="Verdana" w:hAnsi="Verdana"/>
          <w:sz w:val="22"/>
          <w:szCs w:val="22"/>
        </w:rPr>
        <w:t xml:space="preserve">Il tasso di decadimento (passaggio a sofferenza nell’anno rispetto agli impieghi iniziali) alla fine del 2021 si attesta al 1,098% in provincia, in aumento rispetto al 2020: la qualità del complesso degli affidamenti alle piccole imprese risulta peggiorato (2,562%), mentre per le imprese più grandi si è attestato all’1,283%. Tale rischiosità riguarda maggiormente il settore delle costruzioni e quello dei servizi. </w:t>
      </w:r>
    </w:p>
    <w:p w14:paraId="75ADBB16" w14:textId="77777777" w:rsidR="00B04A98" w:rsidRPr="00B04A98" w:rsidRDefault="00B04A98" w:rsidP="00B04A98">
      <w:pPr>
        <w:spacing w:after="120"/>
        <w:ind w:right="425"/>
        <w:jc w:val="both"/>
        <w:rPr>
          <w:rFonts w:ascii="Verdana" w:hAnsi="Verdana"/>
          <w:sz w:val="22"/>
          <w:szCs w:val="22"/>
        </w:rPr>
      </w:pPr>
    </w:p>
    <w:p w14:paraId="08F854B8" w14:textId="39D6CA9F" w:rsidR="004F551E" w:rsidRDefault="004F551E" w:rsidP="004F551E">
      <w:pPr>
        <w:jc w:val="both"/>
        <w:rPr>
          <w:rFonts w:ascii="Verdana" w:hAnsi="Verdana"/>
          <w:sz w:val="22"/>
          <w:szCs w:val="22"/>
        </w:rPr>
      </w:pPr>
    </w:p>
    <w:p w14:paraId="0027FCF3" w14:textId="77777777" w:rsidR="004F551E" w:rsidRPr="004F551E" w:rsidRDefault="004F551E" w:rsidP="004F551E">
      <w:pPr>
        <w:jc w:val="both"/>
        <w:rPr>
          <w:rFonts w:ascii="Verdana" w:hAnsi="Verdana"/>
          <w:sz w:val="22"/>
          <w:szCs w:val="22"/>
        </w:rPr>
      </w:pPr>
    </w:p>
    <w:tbl>
      <w:tblPr>
        <w:tblW w:w="9580" w:type="dxa"/>
        <w:tblLook w:val="04A0" w:firstRow="1" w:lastRow="0" w:firstColumn="1" w:lastColumn="0" w:noHBand="0" w:noVBand="1"/>
      </w:tblPr>
      <w:tblGrid>
        <w:gridCol w:w="6013"/>
        <w:gridCol w:w="3567"/>
      </w:tblGrid>
      <w:tr w:rsidR="00A80914" w14:paraId="75F33298" w14:textId="77777777" w:rsidTr="00A31357">
        <w:trPr>
          <w:trHeight w:val="1201"/>
        </w:trPr>
        <w:tc>
          <w:tcPr>
            <w:tcW w:w="6013" w:type="dxa"/>
            <w:shd w:val="clear" w:color="auto" w:fill="FFFFFF"/>
          </w:tcPr>
          <w:p w14:paraId="71379368" w14:textId="77777777" w:rsidR="00A80914" w:rsidRDefault="00CC3158" w:rsidP="004F551E">
            <w:pPr>
              <w:rPr>
                <w:rFonts w:ascii="Verdana" w:eastAsia="Verdana" w:hAnsi="Verdana" w:cs="Verdana"/>
                <w:b/>
                <w:color w:val="000000"/>
                <w:sz w:val="18"/>
                <w:szCs w:val="18"/>
              </w:rPr>
            </w:pPr>
            <w:r>
              <w:rPr>
                <w:rFonts w:ascii="Verdana" w:eastAsia="Verdana" w:hAnsi="Verdana" w:cs="Verdana"/>
                <w:b/>
                <w:color w:val="000000"/>
                <w:sz w:val="18"/>
                <w:szCs w:val="18"/>
              </w:rPr>
              <w:t>Ufficio Stampa – Relazioni Esterne</w:t>
            </w:r>
          </w:p>
          <w:p w14:paraId="7C1EEFCB" w14:textId="56CD89DC" w:rsidR="00A80914" w:rsidRDefault="00CC3158" w:rsidP="004F551E">
            <w:pPr>
              <w:rPr>
                <w:rFonts w:ascii="Verdana" w:eastAsia="Verdana" w:hAnsi="Verdana" w:cs="Verdana"/>
                <w:color w:val="000000"/>
                <w:sz w:val="18"/>
                <w:szCs w:val="18"/>
              </w:rPr>
            </w:pPr>
            <w:r>
              <w:rPr>
                <w:rFonts w:ascii="Verdana" w:eastAsia="Verdana" w:hAnsi="Verdana" w:cs="Verdana"/>
                <w:color w:val="000000"/>
                <w:sz w:val="18"/>
                <w:szCs w:val="18"/>
              </w:rPr>
              <w:t>Francesca Sargenti</w:t>
            </w:r>
          </w:p>
          <w:p w14:paraId="262EAD8A" w14:textId="092B9952" w:rsidR="002C6AD9" w:rsidRDefault="008B0CD2" w:rsidP="004F551E">
            <w:pPr>
              <w:rPr>
                <w:rFonts w:ascii="Verdana" w:eastAsia="Verdana" w:hAnsi="Verdana" w:cs="Verdana"/>
                <w:color w:val="000000"/>
                <w:sz w:val="18"/>
                <w:szCs w:val="18"/>
              </w:rPr>
            </w:pPr>
            <w:r w:rsidRPr="008B0CD2">
              <w:rPr>
                <w:rFonts w:ascii="Arial" w:eastAsia="Verdana" w:hAnsi="Arial" w:cs="Arial"/>
                <w:color w:val="000000"/>
                <w:sz w:val="18"/>
                <w:szCs w:val="18"/>
              </w:rPr>
              <w:t>​</w:t>
            </w:r>
            <w:proofErr w:type="spellStart"/>
            <w:r w:rsidRPr="008B0CD2">
              <w:rPr>
                <w:rFonts w:ascii="Verdana" w:eastAsia="Verdana" w:hAnsi="Verdana" w:cs="Verdana"/>
                <w:color w:val="000000"/>
                <w:sz w:val="18"/>
                <w:szCs w:val="18"/>
              </w:rPr>
              <w:t>Iscr</w:t>
            </w:r>
            <w:proofErr w:type="spellEnd"/>
            <w:r w:rsidRPr="008B0CD2">
              <w:rPr>
                <w:rFonts w:ascii="Verdana" w:eastAsia="Verdana" w:hAnsi="Verdana" w:cs="Verdana"/>
                <w:color w:val="000000"/>
                <w:sz w:val="18"/>
                <w:szCs w:val="18"/>
              </w:rPr>
              <w:t>. Ordine pubblicisti Regione Toscana</w:t>
            </w:r>
            <w:r w:rsidRPr="008B0CD2">
              <w:rPr>
                <w:rFonts w:ascii="Arial" w:eastAsia="Verdana" w:hAnsi="Arial" w:cs="Arial"/>
                <w:color w:val="000000"/>
                <w:sz w:val="18"/>
                <w:szCs w:val="18"/>
              </w:rPr>
              <w:t>​</w:t>
            </w:r>
            <w:r w:rsidRPr="008B0CD2">
              <w:rPr>
                <w:rFonts w:ascii="Verdana" w:eastAsia="Verdana" w:hAnsi="Verdana" w:cs="Verdana"/>
                <w:color w:val="000000"/>
                <w:sz w:val="18"/>
                <w:szCs w:val="18"/>
              </w:rPr>
              <w:t xml:space="preserve"> n. 176178</w:t>
            </w:r>
          </w:p>
          <w:p w14:paraId="49E2380E" w14:textId="77777777" w:rsidR="00A80914" w:rsidRDefault="00CC3158" w:rsidP="004F551E">
            <w:pPr>
              <w:rPr>
                <w:rFonts w:ascii="Verdana" w:eastAsia="Verdana" w:hAnsi="Verdana" w:cs="Verdana"/>
                <w:color w:val="000000"/>
                <w:sz w:val="18"/>
                <w:szCs w:val="18"/>
              </w:rPr>
            </w:pPr>
            <w:r>
              <w:rPr>
                <w:rFonts w:ascii="Verdana" w:eastAsia="Verdana" w:hAnsi="Verdana" w:cs="Verdana"/>
                <w:color w:val="000000"/>
                <w:sz w:val="18"/>
                <w:szCs w:val="18"/>
              </w:rPr>
              <w:t xml:space="preserve">Tel. +39 0583 976.686 - </w:t>
            </w:r>
            <w:proofErr w:type="spellStart"/>
            <w:r>
              <w:rPr>
                <w:rFonts w:ascii="Verdana" w:eastAsia="Verdana" w:hAnsi="Verdana" w:cs="Verdana"/>
                <w:color w:val="000000"/>
                <w:sz w:val="18"/>
                <w:szCs w:val="18"/>
              </w:rPr>
              <w:t>cell</w:t>
            </w:r>
            <w:proofErr w:type="spellEnd"/>
            <w:r>
              <w:rPr>
                <w:rFonts w:ascii="Verdana" w:eastAsia="Verdana" w:hAnsi="Verdana" w:cs="Verdana"/>
                <w:color w:val="000000"/>
                <w:sz w:val="18"/>
                <w:szCs w:val="18"/>
              </w:rPr>
              <w:t>. +39</w:t>
            </w:r>
            <w:r>
              <w:t xml:space="preserve"> </w:t>
            </w:r>
            <w:r>
              <w:rPr>
                <w:rFonts w:ascii="Verdana" w:eastAsia="Verdana" w:hAnsi="Verdana" w:cs="Verdana"/>
                <w:color w:val="000000"/>
                <w:sz w:val="18"/>
                <w:szCs w:val="18"/>
              </w:rPr>
              <w:t xml:space="preserve">329 3606494 </w:t>
            </w:r>
          </w:p>
        </w:tc>
        <w:tc>
          <w:tcPr>
            <w:tcW w:w="3567" w:type="dxa"/>
            <w:shd w:val="clear" w:color="auto" w:fill="FFFFFF"/>
          </w:tcPr>
          <w:p w14:paraId="068D4DED" w14:textId="77777777" w:rsidR="00A80914" w:rsidRDefault="002874B5" w:rsidP="004F551E">
            <w:pPr>
              <w:jc w:val="right"/>
            </w:pPr>
            <w:hyperlink r:id="rId8">
              <w:r w:rsidR="00CC3158">
                <w:rPr>
                  <w:rStyle w:val="CollegamentoInternet"/>
                  <w:noProof/>
                </w:rPr>
                <w:drawing>
                  <wp:inline distT="0" distB="0" distL="0" distR="0" wp14:anchorId="3ABC626A" wp14:editId="68185BD1">
                    <wp:extent cx="219075" cy="2190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tretch>
                              <a:fillRect/>
                            </a:stretch>
                          </pic:blipFill>
                          <pic:spPr bwMode="auto">
                            <a:xfrm>
                              <a:off x="0" y="0"/>
                              <a:ext cx="219075" cy="219075"/>
                            </a:xfrm>
                            <a:prstGeom prst="rect">
                              <a:avLst/>
                            </a:prstGeom>
                          </pic:spPr>
                        </pic:pic>
                      </a:graphicData>
                    </a:graphic>
                  </wp:inline>
                </w:drawing>
              </w:r>
            </w:hyperlink>
            <w:r w:rsidR="00CC3158">
              <w:rPr>
                <w:rFonts w:ascii="Verdana" w:eastAsia="Verdana" w:hAnsi="Verdana" w:cs="Verdana"/>
                <w:b/>
                <w:color w:val="000000"/>
                <w:sz w:val="24"/>
                <w:szCs w:val="24"/>
              </w:rPr>
              <w:t xml:space="preserve"> </w:t>
            </w:r>
            <w:hyperlink r:id="rId10">
              <w:r w:rsidR="00CC3158">
                <w:rPr>
                  <w:rStyle w:val="CollegamentoInternet"/>
                  <w:noProof/>
                </w:rPr>
                <w:drawing>
                  <wp:inline distT="0" distB="0" distL="0" distR="0" wp14:anchorId="09873C91" wp14:editId="242B3FC6">
                    <wp:extent cx="225425" cy="225425"/>
                    <wp:effectExtent l="0" t="0" r="0" b="0"/>
                    <wp:docPr id="2"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pic:cNvPicPr>
                              <a:picLocks noChangeAspect="1" noChangeArrowheads="1"/>
                            </pic:cNvPicPr>
                          </pic:nvPicPr>
                          <pic:blipFill>
                            <a:blip r:embed="rId11"/>
                            <a:stretch>
                              <a:fillRect/>
                            </a:stretch>
                          </pic:blipFill>
                          <pic:spPr bwMode="auto">
                            <a:xfrm>
                              <a:off x="0" y="0"/>
                              <a:ext cx="225425" cy="225425"/>
                            </a:xfrm>
                            <a:prstGeom prst="rect">
                              <a:avLst/>
                            </a:prstGeom>
                          </pic:spPr>
                        </pic:pic>
                      </a:graphicData>
                    </a:graphic>
                  </wp:inline>
                </w:drawing>
              </w:r>
            </w:hyperlink>
            <w:r w:rsidR="00CC3158">
              <w:rPr>
                <w:rFonts w:ascii="Verdana" w:eastAsia="Verdana" w:hAnsi="Verdana" w:cs="Verdana"/>
                <w:b/>
                <w:color w:val="000000"/>
                <w:sz w:val="24"/>
                <w:szCs w:val="24"/>
              </w:rPr>
              <w:t xml:space="preserve"> </w:t>
            </w:r>
            <w:hyperlink r:id="rId12">
              <w:r w:rsidR="00CC3158">
                <w:rPr>
                  <w:rStyle w:val="CollegamentoInternet"/>
                  <w:noProof/>
                </w:rPr>
                <w:drawing>
                  <wp:inline distT="0" distB="0" distL="0" distR="0" wp14:anchorId="2A3A5224" wp14:editId="1A6E064C">
                    <wp:extent cx="229235" cy="228600"/>
                    <wp:effectExtent l="0" t="0" r="0" b="0"/>
                    <wp:docPr id="3"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pic:cNvPicPr>
                              <a:picLocks noChangeAspect="1" noChangeArrowheads="1"/>
                            </pic:cNvPicPr>
                          </pic:nvPicPr>
                          <pic:blipFill>
                            <a:blip r:embed="rId13"/>
                            <a:stretch>
                              <a:fillRect/>
                            </a:stretch>
                          </pic:blipFill>
                          <pic:spPr bwMode="auto">
                            <a:xfrm>
                              <a:off x="0" y="0"/>
                              <a:ext cx="229235" cy="228600"/>
                            </a:xfrm>
                            <a:prstGeom prst="rect">
                              <a:avLst/>
                            </a:prstGeom>
                          </pic:spPr>
                        </pic:pic>
                      </a:graphicData>
                    </a:graphic>
                  </wp:inline>
                </w:drawing>
              </w:r>
            </w:hyperlink>
          </w:p>
        </w:tc>
      </w:tr>
    </w:tbl>
    <w:p w14:paraId="0050459B" w14:textId="77777777" w:rsidR="002C6AD9" w:rsidRDefault="002C6AD9" w:rsidP="004F551E">
      <w:pPr>
        <w:spacing w:line="276" w:lineRule="auto"/>
        <w:jc w:val="both"/>
        <w:rPr>
          <w:rFonts w:asciiTheme="majorHAnsi" w:hAnsiTheme="majorHAnsi" w:cstheme="majorHAnsi"/>
          <w:sz w:val="24"/>
          <w:szCs w:val="24"/>
        </w:rPr>
      </w:pPr>
    </w:p>
    <w:sectPr w:rsidR="002C6AD9" w:rsidSect="004F551E">
      <w:headerReference w:type="default" r:id="rId14"/>
      <w:footerReference w:type="default" r:id="rId15"/>
      <w:pgSz w:w="11906" w:h="16838"/>
      <w:pgMar w:top="2552" w:right="849" w:bottom="1418" w:left="851" w:header="426" w:footer="7" w:gutter="0"/>
      <w:pgNumType w:start="1"/>
      <w:cols w:space="720"/>
      <w:formProt w:val="0"/>
      <w:docGrid w:linePitch="280" w:charSpace="100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28817" w14:textId="77777777" w:rsidR="00CC3158" w:rsidRDefault="00CC3158">
      <w:r>
        <w:separator/>
      </w:r>
    </w:p>
  </w:endnote>
  <w:endnote w:type="continuationSeparator" w:id="0">
    <w:p w14:paraId="20F0671C" w14:textId="77777777" w:rsidR="00CC3158" w:rsidRDefault="00CC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Arial Unicode MS">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1C09" w14:textId="77777777" w:rsidR="00A80914" w:rsidRDefault="00A80914">
    <w:pPr>
      <w:jc w:val="both"/>
      <w:rPr>
        <w:rFonts w:ascii="Arial Narrow" w:eastAsia="Arial Narrow" w:hAnsi="Arial Narrow" w:cs="Arial Narrow"/>
        <w:color w:val="000000"/>
        <w:sz w:val="16"/>
        <w:szCs w:val="16"/>
      </w:rPr>
    </w:pPr>
  </w:p>
  <w:p w14:paraId="0A105093" w14:textId="77777777" w:rsidR="00A80914" w:rsidRDefault="00CC3158">
    <w:pPr>
      <w:jc w:val="center"/>
      <w:rPr>
        <w:rFonts w:ascii="Arial Narrow" w:eastAsia="Arial Narrow" w:hAnsi="Arial Narrow" w:cs="Arial Narrow"/>
        <w:color w:val="A09289"/>
        <w:sz w:val="16"/>
        <w:szCs w:val="16"/>
      </w:rPr>
    </w:pPr>
    <w:r>
      <w:rPr>
        <w:rFonts w:ascii="Arial Narrow" w:eastAsia="Arial Narrow" w:hAnsi="Arial Narrow" w:cs="Arial Narrow"/>
        <w:b/>
        <w:color w:val="A09289"/>
        <w:sz w:val="16"/>
        <w:szCs w:val="16"/>
      </w:rPr>
      <w:t xml:space="preserve">Camera di Commercio Industria Artigianato Agricoltura di Lucca - </w:t>
    </w:r>
    <w:r>
      <w:rPr>
        <w:rFonts w:ascii="Arial Narrow" w:eastAsia="Arial Narrow" w:hAnsi="Arial Narrow" w:cs="Arial Narrow"/>
        <w:color w:val="A09289"/>
        <w:sz w:val="16"/>
        <w:szCs w:val="16"/>
      </w:rPr>
      <w:t>Corte Campana, 10 - 55100 Lucca - T +39 0583 9765   F +39 0583 199 99 82</w:t>
    </w:r>
  </w:p>
  <w:p w14:paraId="2EEFDFEF" w14:textId="77777777" w:rsidR="00A80914" w:rsidRDefault="00CC3158">
    <w:pPr>
      <w:ind w:left="851"/>
      <w:jc w:val="center"/>
      <w:rPr>
        <w:rFonts w:ascii="Arial Narrow" w:eastAsia="Arial Narrow" w:hAnsi="Arial Narrow" w:cs="Arial Narrow"/>
        <w:color w:val="A09289"/>
        <w:sz w:val="16"/>
        <w:szCs w:val="16"/>
      </w:rPr>
    </w:pPr>
    <w:r>
      <w:rPr>
        <w:rFonts w:ascii="Arial Narrow" w:eastAsia="Arial Narrow" w:hAnsi="Arial Narrow" w:cs="Arial Narrow"/>
        <w:color w:val="A09289"/>
        <w:sz w:val="16"/>
        <w:szCs w:val="16"/>
      </w:rPr>
      <w:t xml:space="preserve">cameracommercio@lu.camcom.it - </w:t>
    </w:r>
    <w:proofErr w:type="spellStart"/>
    <w:r>
      <w:rPr>
        <w:rFonts w:ascii="Arial Narrow" w:eastAsia="Arial Narrow" w:hAnsi="Arial Narrow" w:cs="Arial Narrow"/>
        <w:color w:val="A09289"/>
        <w:sz w:val="16"/>
        <w:szCs w:val="16"/>
      </w:rPr>
      <w:t>p.e.c</w:t>
    </w:r>
    <w:proofErr w:type="spellEnd"/>
    <w:r>
      <w:rPr>
        <w:rFonts w:ascii="Arial Narrow" w:eastAsia="Arial Narrow" w:hAnsi="Arial Narrow" w:cs="Arial Narrow"/>
        <w:color w:val="A09289"/>
        <w:sz w:val="16"/>
        <w:szCs w:val="16"/>
      </w:rPr>
      <w:t>. camera.commercio.lucca@lu.legalmail.camcom.it - www.lu.camcom.it</w:t>
    </w:r>
  </w:p>
  <w:p w14:paraId="436EA712" w14:textId="77777777" w:rsidR="00A80914" w:rsidRDefault="00A80914">
    <w:pPr>
      <w:tabs>
        <w:tab w:val="center" w:pos="4819"/>
        <w:tab w:val="right" w:pos="9638"/>
      </w:tabs>
      <w:rPr>
        <w:rFonts w:ascii="Arial Narrow" w:eastAsia="Arial Narrow" w:hAnsi="Arial Narrow" w:cs="Arial Narrow"/>
        <w:color w:val="A0928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DBD9" w14:textId="77777777" w:rsidR="00CC3158" w:rsidRDefault="00CC3158">
      <w:r>
        <w:separator/>
      </w:r>
    </w:p>
  </w:footnote>
  <w:footnote w:type="continuationSeparator" w:id="0">
    <w:p w14:paraId="562DC1C4" w14:textId="77777777" w:rsidR="00CC3158" w:rsidRDefault="00CC3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EF95" w14:textId="77777777" w:rsidR="00A80914" w:rsidRDefault="00CC3158">
    <w:pPr>
      <w:pStyle w:val="Intestazione"/>
      <w:rPr>
        <w:rFonts w:ascii="Verdana" w:hAnsi="Verdana" w:cs="Verdana"/>
        <w:b/>
        <w:color w:val="808080"/>
        <w:spacing w:val="20"/>
        <w:kern w:val="2"/>
        <w:sz w:val="36"/>
        <w:lang w:val="pt-PT"/>
      </w:rPr>
    </w:pPr>
    <w:r>
      <w:rPr>
        <w:noProof/>
      </w:rPr>
      <w:drawing>
        <wp:inline distT="0" distB="0" distL="0" distR="0" wp14:anchorId="17E5DE14" wp14:editId="68857403">
          <wp:extent cx="1962150" cy="533400"/>
          <wp:effectExtent l="0" t="0" r="0" b="0"/>
          <wp:docPr id="12" name="Immagine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3" descr="Immagine che contiene testo&#10;&#10;Descrizione generata automaticamente"/>
                  <pic:cNvPicPr>
                    <a:picLocks noChangeAspect="1" noChangeArrowheads="1"/>
                  </pic:cNvPicPr>
                </pic:nvPicPr>
                <pic:blipFill>
                  <a:blip r:embed="rId1"/>
                  <a:srcRect l="-433" t="-1591" r="-433" b="-1591"/>
                  <a:stretch>
                    <a:fillRect/>
                  </a:stretch>
                </pic:blipFill>
                <pic:spPr bwMode="auto">
                  <a:xfrm>
                    <a:off x="0" y="0"/>
                    <a:ext cx="1962150" cy="533400"/>
                  </a:xfrm>
                  <a:prstGeom prst="rect">
                    <a:avLst/>
                  </a:prstGeom>
                </pic:spPr>
              </pic:pic>
            </a:graphicData>
          </a:graphic>
        </wp:inline>
      </w:drawing>
    </w:r>
  </w:p>
  <w:p w14:paraId="111FE95E" w14:textId="76DE017A" w:rsidR="00A80914" w:rsidRDefault="00CC3158">
    <w:pPr>
      <w:pStyle w:val="Intestazione"/>
      <w:rPr>
        <w:rFonts w:ascii="Verdana" w:hAnsi="Verdana" w:cs="Verdana"/>
        <w:color w:val="808080"/>
        <w:spacing w:val="20"/>
        <w:sz w:val="36"/>
        <w:lang w:val="pt-PT"/>
      </w:rPr>
    </w:pPr>
    <w:r>
      <w:rPr>
        <w:rFonts w:ascii="Verdana" w:hAnsi="Verdana" w:cs="Verdana"/>
        <w:sz w:val="22"/>
        <w:shd w:val="clear" w:color="auto" w:fill="FFFFFF"/>
      </w:rPr>
      <w:tab/>
    </w:r>
    <w:r>
      <w:rPr>
        <w:rFonts w:ascii="Verdana" w:hAnsi="Verdana" w:cs="Verdana"/>
        <w:sz w:val="22"/>
        <w:shd w:val="clear" w:color="auto" w:fill="FFFFFF"/>
      </w:rPr>
      <w:tab/>
    </w:r>
    <w:r w:rsidR="00B6286E">
      <w:rPr>
        <w:rFonts w:ascii="Verdana" w:hAnsi="Verdana" w:cs="Verdana"/>
        <w:color w:val="808080"/>
        <w:spacing w:val="20"/>
        <w:sz w:val="36"/>
        <w:lang w:val="pt-PT"/>
      </w:rP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C0884"/>
    <w:multiLevelType w:val="hybridMultilevel"/>
    <w:tmpl w:val="E1EE29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16125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914"/>
    <w:rsid w:val="00063D66"/>
    <w:rsid w:val="00083593"/>
    <w:rsid w:val="000859BD"/>
    <w:rsid w:val="000863F3"/>
    <w:rsid w:val="000A20AB"/>
    <w:rsid w:val="000C051F"/>
    <w:rsid w:val="00113280"/>
    <w:rsid w:val="00115AEF"/>
    <w:rsid w:val="00154937"/>
    <w:rsid w:val="001C277E"/>
    <w:rsid w:val="00264372"/>
    <w:rsid w:val="002874B5"/>
    <w:rsid w:val="002A22AD"/>
    <w:rsid w:val="002C6AD9"/>
    <w:rsid w:val="002D36E3"/>
    <w:rsid w:val="002F24F8"/>
    <w:rsid w:val="00324C7F"/>
    <w:rsid w:val="00334CC9"/>
    <w:rsid w:val="00354E6E"/>
    <w:rsid w:val="00355678"/>
    <w:rsid w:val="00362A21"/>
    <w:rsid w:val="00365038"/>
    <w:rsid w:val="00395062"/>
    <w:rsid w:val="003D60C9"/>
    <w:rsid w:val="004009E0"/>
    <w:rsid w:val="004025BE"/>
    <w:rsid w:val="0045334D"/>
    <w:rsid w:val="00472D66"/>
    <w:rsid w:val="004740C1"/>
    <w:rsid w:val="004D77BE"/>
    <w:rsid w:val="004E4087"/>
    <w:rsid w:val="004F551E"/>
    <w:rsid w:val="00540A4E"/>
    <w:rsid w:val="00545AA3"/>
    <w:rsid w:val="00574EE9"/>
    <w:rsid w:val="005D3DCB"/>
    <w:rsid w:val="00633B7F"/>
    <w:rsid w:val="00661592"/>
    <w:rsid w:val="0066176A"/>
    <w:rsid w:val="00673381"/>
    <w:rsid w:val="00693F90"/>
    <w:rsid w:val="006F4F49"/>
    <w:rsid w:val="00705D8D"/>
    <w:rsid w:val="007119F3"/>
    <w:rsid w:val="00755D76"/>
    <w:rsid w:val="007B592B"/>
    <w:rsid w:val="007C6D77"/>
    <w:rsid w:val="0080528F"/>
    <w:rsid w:val="00824BB2"/>
    <w:rsid w:val="00837F95"/>
    <w:rsid w:val="00891C78"/>
    <w:rsid w:val="0089444C"/>
    <w:rsid w:val="008B0CD2"/>
    <w:rsid w:val="008D5DBA"/>
    <w:rsid w:val="009138B1"/>
    <w:rsid w:val="009329E9"/>
    <w:rsid w:val="00941C7C"/>
    <w:rsid w:val="00955B3D"/>
    <w:rsid w:val="009803C7"/>
    <w:rsid w:val="00987CE4"/>
    <w:rsid w:val="00A14D85"/>
    <w:rsid w:val="00A27337"/>
    <w:rsid w:val="00A31357"/>
    <w:rsid w:val="00A80914"/>
    <w:rsid w:val="00A85CBD"/>
    <w:rsid w:val="00A86106"/>
    <w:rsid w:val="00AB73F6"/>
    <w:rsid w:val="00AE2AC5"/>
    <w:rsid w:val="00B026FD"/>
    <w:rsid w:val="00B04A98"/>
    <w:rsid w:val="00B6286E"/>
    <w:rsid w:val="00B639C0"/>
    <w:rsid w:val="00BB01F9"/>
    <w:rsid w:val="00BC2C4B"/>
    <w:rsid w:val="00BD7F3A"/>
    <w:rsid w:val="00BF5CE9"/>
    <w:rsid w:val="00C10EFD"/>
    <w:rsid w:val="00C31339"/>
    <w:rsid w:val="00C47AA9"/>
    <w:rsid w:val="00C85E3A"/>
    <w:rsid w:val="00C861F1"/>
    <w:rsid w:val="00CB295A"/>
    <w:rsid w:val="00CC3158"/>
    <w:rsid w:val="00D0639F"/>
    <w:rsid w:val="00D64AA6"/>
    <w:rsid w:val="00DF6B5F"/>
    <w:rsid w:val="00E14841"/>
    <w:rsid w:val="00E3189E"/>
    <w:rsid w:val="00E472FC"/>
    <w:rsid w:val="00EE5965"/>
    <w:rsid w:val="00F43DE9"/>
    <w:rsid w:val="00F63F1A"/>
    <w:rsid w:val="00F6635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C1042"/>
  <w15:docId w15:val="{BAC2911E-E0FE-4367-AED0-CE12C096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color w:val="00000A"/>
    </w:rPr>
  </w:style>
  <w:style w:type="paragraph" w:styleId="Titolo1">
    <w:name w:val="heading 1"/>
    <w:basedOn w:val="Normale"/>
    <w:uiPriority w:val="9"/>
    <w:qFormat/>
    <w:pPr>
      <w:keepNext/>
      <w:keepLines/>
      <w:spacing w:before="480" w:after="120"/>
      <w:outlineLvl w:val="0"/>
    </w:pPr>
    <w:rPr>
      <w:b/>
      <w:sz w:val="48"/>
      <w:szCs w:val="48"/>
    </w:rPr>
  </w:style>
  <w:style w:type="paragraph" w:styleId="Titolo2">
    <w:name w:val="heading 2"/>
    <w:basedOn w:val="Normale"/>
    <w:uiPriority w:val="9"/>
    <w:semiHidden/>
    <w:unhideWhenUsed/>
    <w:qFormat/>
    <w:pPr>
      <w:keepNext/>
      <w:keepLines/>
      <w:spacing w:before="360" w:after="80"/>
      <w:outlineLvl w:val="1"/>
    </w:pPr>
    <w:rPr>
      <w:b/>
      <w:sz w:val="36"/>
      <w:szCs w:val="36"/>
    </w:rPr>
  </w:style>
  <w:style w:type="paragraph" w:styleId="Titolo3">
    <w:name w:val="heading 3"/>
    <w:basedOn w:val="Normale"/>
    <w:uiPriority w:val="9"/>
    <w:semiHidden/>
    <w:unhideWhenUsed/>
    <w:qFormat/>
    <w:pPr>
      <w:keepNext/>
      <w:keepLines/>
      <w:spacing w:before="280" w:after="80"/>
      <w:outlineLvl w:val="2"/>
    </w:pPr>
    <w:rPr>
      <w:b/>
      <w:sz w:val="28"/>
      <w:szCs w:val="28"/>
    </w:rPr>
  </w:style>
  <w:style w:type="paragraph" w:styleId="Titolo4">
    <w:name w:val="heading 4"/>
    <w:basedOn w:val="Normale"/>
    <w:uiPriority w:val="9"/>
    <w:semiHidden/>
    <w:unhideWhenUsed/>
    <w:qFormat/>
    <w:pPr>
      <w:keepNext/>
      <w:keepLines/>
      <w:spacing w:before="240" w:after="40"/>
      <w:outlineLvl w:val="3"/>
    </w:pPr>
    <w:rPr>
      <w:b/>
      <w:sz w:val="24"/>
      <w:szCs w:val="24"/>
    </w:rPr>
  </w:style>
  <w:style w:type="paragraph" w:styleId="Titolo5">
    <w:name w:val="heading 5"/>
    <w:basedOn w:val="Normale"/>
    <w:uiPriority w:val="9"/>
    <w:semiHidden/>
    <w:unhideWhenUsed/>
    <w:qFormat/>
    <w:pPr>
      <w:keepNext/>
      <w:keepLines/>
      <w:spacing w:before="220" w:after="40"/>
      <w:outlineLvl w:val="4"/>
    </w:pPr>
    <w:rPr>
      <w:b/>
      <w:sz w:val="22"/>
      <w:szCs w:val="22"/>
    </w:rPr>
  </w:style>
  <w:style w:type="paragraph" w:styleId="Titolo6">
    <w:name w:val="heading 6"/>
    <w:basedOn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535DB2"/>
  </w:style>
  <w:style w:type="character" w:customStyle="1" w:styleId="PidipaginaCarattere">
    <w:name w:val="Piè di pagina Carattere"/>
    <w:basedOn w:val="Carpredefinitoparagrafo"/>
    <w:link w:val="Pidipagina"/>
    <w:uiPriority w:val="99"/>
    <w:qFormat/>
    <w:rsid w:val="00535DB2"/>
  </w:style>
  <w:style w:type="character" w:customStyle="1" w:styleId="CollegamentoInternet">
    <w:name w:val="Collegamento Internet"/>
    <w:basedOn w:val="Carpredefinitoparagrafo"/>
    <w:uiPriority w:val="99"/>
    <w:unhideWhenUsed/>
    <w:rsid w:val="00A27D05"/>
    <w:rPr>
      <w:color w:val="0000FF" w:themeColor="hyperlink"/>
      <w:u w:val="single"/>
    </w:rPr>
  </w:style>
  <w:style w:type="character" w:customStyle="1" w:styleId="Menzionenonrisolta1">
    <w:name w:val="Menzione non risolta1"/>
    <w:basedOn w:val="Carpredefinitoparagrafo"/>
    <w:uiPriority w:val="99"/>
    <w:semiHidden/>
    <w:unhideWhenUsed/>
    <w:qFormat/>
    <w:rsid w:val="001501C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Verdana" w:cs="Verdana"/>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WW8Num17z0">
    <w:name w:val="WW8Num17z0"/>
    <w:qFormat/>
    <w:rPr>
      <w:rFonts w:cs="Arial"/>
      <w:strike w:val="0"/>
      <w:dstrike w:val="0"/>
    </w:rPr>
  </w:style>
  <w:style w:type="character" w:customStyle="1" w:styleId="WW8Num17z1">
    <w:name w:val="WW8Num17z1"/>
    <w:qFormat/>
    <w:rPr>
      <w:rFonts w:ascii="OpenSymbol;Arial Unicode MS" w:hAnsi="OpenSymbol;Arial Unicode MS" w:cs="OpenSymbol;Arial Unicode MS"/>
    </w:rPr>
  </w:style>
  <w:style w:type="character" w:customStyle="1" w:styleId="WW8Num17z3">
    <w:name w:val="WW8Num17z3"/>
    <w:qFormat/>
    <w:rPr>
      <w:rFonts w:ascii="Symbol" w:hAnsi="Symbol" w:cs="OpenSymbol;Arial Unicode MS"/>
    </w:rPr>
  </w:style>
  <w:style w:type="character" w:customStyle="1" w:styleId="WW8Num9z0">
    <w:name w:val="WW8Num9z0"/>
    <w:qFormat/>
    <w:rPr>
      <w:rFonts w:ascii="Arial" w:eastAsia="Times New Roman" w:hAnsi="Arial" w:cs="Arial"/>
      <w:b w:val="0"/>
      <w:strike w:val="0"/>
      <w:dstrike w:val="0"/>
      <w:sz w:val="22"/>
      <w:szCs w:val="22"/>
    </w:rPr>
  </w:style>
  <w:style w:type="character" w:customStyle="1" w:styleId="WW8Num9z1">
    <w:name w:val="WW8Num9z1"/>
    <w:qFormat/>
    <w:rPr>
      <w:rFonts w:ascii="OpenSymbol;Arial Unicode MS" w:hAnsi="OpenSymbol;Arial Unicode MS" w:cs="OpenSymbol;Arial Unicode MS"/>
    </w:rPr>
  </w:style>
  <w:style w:type="character" w:customStyle="1" w:styleId="WW8Num9z3">
    <w:name w:val="WW8Num9z3"/>
    <w:qFormat/>
    <w:rPr>
      <w:rFonts w:ascii="Symbol" w:hAnsi="Symbol" w:cs="Symbol"/>
    </w:rPr>
  </w:style>
  <w:style w:type="character" w:customStyle="1" w:styleId="WW8Num2z0">
    <w:name w:val="WW8Num2z0"/>
    <w:qFormat/>
    <w:rPr>
      <w:rFonts w:ascii="Symbol" w:hAnsi="Symbol" w:cs="OpenSymbol;Arial Unicode MS"/>
      <w:color w:val="000000"/>
      <w:sz w:val="18"/>
      <w:szCs w:val="18"/>
    </w:rPr>
  </w:style>
  <w:style w:type="character" w:customStyle="1" w:styleId="WW8Num2z1">
    <w:name w:val="WW8Num2z1"/>
    <w:qFormat/>
    <w:rPr>
      <w:rFonts w:ascii="OpenSymbol;Arial Unicode MS" w:hAnsi="OpenSymbol;Arial Unicode MS" w:cs="OpenSymbol;Arial Unicode MS"/>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basedOn w:val="Carpredefinitoparagrafo"/>
    <w:link w:val="Testonotaapidipagina"/>
    <w:uiPriority w:val="99"/>
    <w:qFormat/>
    <w:locked/>
    <w:rsid w:val="00AA3CA1"/>
  </w:style>
  <w:style w:type="character" w:customStyle="1" w:styleId="TestonotaapidipaginaCarattere1">
    <w:name w:val="Testo nota a piè di pagina Carattere1"/>
    <w:basedOn w:val="Carpredefinitoparagrafo"/>
    <w:uiPriority w:val="99"/>
    <w:semiHidden/>
    <w:qFormat/>
    <w:rsid w:val="00AA3CA1"/>
    <w:rPr>
      <w:color w:val="00000A"/>
    </w:rPr>
  </w:style>
  <w:style w:type="character" w:customStyle="1" w:styleId="Richiamoallanotaapidipagina">
    <w:name w:val="Richiamo alla nota a piè di pagina"/>
    <w:rPr>
      <w:vertAlign w:val="superscript"/>
    </w:rPr>
  </w:style>
  <w:style w:type="character" w:customStyle="1" w:styleId="FootnoteCharacters">
    <w:name w:val="Footnote Characters"/>
    <w:uiPriority w:val="99"/>
    <w:semiHidden/>
    <w:unhideWhenUsed/>
    <w:qFormat/>
    <w:rsid w:val="00AA3CA1"/>
    <w:rPr>
      <w:vertAlign w:val="superscript"/>
    </w:rPr>
  </w:style>
  <w:style w:type="character" w:customStyle="1" w:styleId="Enfasiforte">
    <w:name w:val="Enfasi forte"/>
    <w:qFormat/>
    <w:rsid w:val="007A7743"/>
    <w:rPr>
      <w:b/>
      <w:bCs/>
    </w:rPr>
  </w:style>
  <w:style w:type="paragraph" w:styleId="Titolo">
    <w:name w:val="Title"/>
    <w:basedOn w:val="Normale"/>
    <w:next w:val="Corpotesto1"/>
    <w:qFormat/>
    <w:pPr>
      <w:keepNext/>
      <w:spacing w:before="240" w:after="120"/>
    </w:pPr>
    <w:rPr>
      <w:rFonts w:ascii="Liberation Sans" w:eastAsia="Microsoft YaHei" w:hAnsi="Liberation Sans" w:cs="Lucida Sans"/>
      <w:sz w:val="28"/>
      <w:szCs w:val="28"/>
    </w:rPr>
  </w:style>
  <w:style w:type="paragraph" w:customStyle="1" w:styleId="Corpotesto1">
    <w:name w:val="Corpo testo1"/>
    <w:basedOn w:val="Normale"/>
    <w:pPr>
      <w:spacing w:after="140" w:line="276" w:lineRule="auto"/>
    </w:pPr>
  </w:style>
  <w:style w:type="paragraph" w:styleId="Elenco">
    <w:name w:val="List"/>
    <w:basedOn w:val="Corpotesto1"/>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Corpotesto1"/>
    <w:uiPriority w:val="10"/>
    <w:qFormat/>
    <w:pPr>
      <w:keepNext/>
      <w:keepLines/>
      <w:spacing w:before="480" w:after="120"/>
    </w:pPr>
    <w:rPr>
      <w:b/>
      <w:sz w:val="72"/>
      <w:szCs w:val="72"/>
    </w:rPr>
  </w:style>
  <w:style w:type="paragraph" w:styleId="Sottotitolo">
    <w:name w:val="Subtitle"/>
    <w:basedOn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nhideWhenUsed/>
    <w:rsid w:val="00535DB2"/>
    <w:pPr>
      <w:tabs>
        <w:tab w:val="center" w:pos="4513"/>
        <w:tab w:val="right" w:pos="9026"/>
      </w:tabs>
    </w:pPr>
  </w:style>
  <w:style w:type="paragraph" w:styleId="Pidipagina">
    <w:name w:val="footer"/>
    <w:basedOn w:val="Normale"/>
    <w:link w:val="PidipaginaCarattere"/>
    <w:uiPriority w:val="99"/>
    <w:unhideWhenUsed/>
    <w:rsid w:val="00535DB2"/>
    <w:pPr>
      <w:tabs>
        <w:tab w:val="center" w:pos="4513"/>
        <w:tab w:val="right" w:pos="9026"/>
      </w:tabs>
    </w:pPr>
  </w:style>
  <w:style w:type="paragraph" w:styleId="Paragrafoelenco">
    <w:name w:val="List Paragraph"/>
    <w:basedOn w:val="Normale"/>
    <w:uiPriority w:val="34"/>
    <w:qFormat/>
    <w:rsid w:val="00EB0AAC"/>
    <w:pPr>
      <w:ind w:left="720"/>
      <w:contextualSpacing/>
    </w:p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unhideWhenUsed/>
    <w:rsid w:val="00AA3CA1"/>
    <w:pPr>
      <w:suppressAutoHyphens w:val="0"/>
    </w:pPr>
    <w:rPr>
      <w:color w:val="auto"/>
    </w:rPr>
  </w:style>
  <w:style w:type="paragraph" w:styleId="NormaleWeb">
    <w:name w:val="Normal (Web)"/>
    <w:basedOn w:val="Normale"/>
    <w:qFormat/>
    <w:rsid w:val="007A7743"/>
    <w:pPr>
      <w:spacing w:before="280" w:after="280"/>
      <w:textAlignment w:val="baseline"/>
    </w:pPr>
    <w:rPr>
      <w:rFonts w:ascii="Liberation Serif" w:eastAsia="NSimSun" w:hAnsi="Liberation Serif" w:cs="Lucida Sans"/>
      <w:color w:val="auto"/>
      <w:kern w:val="2"/>
      <w:sz w:val="24"/>
      <w:szCs w:val="24"/>
      <w:lang w:eastAsia="zh-CN" w:bidi="hi-IN"/>
    </w:rPr>
  </w:style>
  <w:style w:type="numbering" w:customStyle="1" w:styleId="WW8Num17">
    <w:name w:val="WW8Num17"/>
    <w:qFormat/>
  </w:style>
  <w:style w:type="numbering" w:customStyle="1" w:styleId="WW8Num9">
    <w:name w:val="WW8Num9"/>
    <w:qFormat/>
  </w:style>
  <w:style w:type="numbering" w:customStyle="1" w:styleId="WW8Num2">
    <w:name w:val="WW8Num2"/>
    <w:qFormat/>
  </w:style>
  <w:style w:type="table" w:customStyle="1" w:styleId="TableNormal">
    <w:name w:val="Table Normal"/>
    <w:tblPr>
      <w:tblCellMar>
        <w:top w:w="0" w:type="dxa"/>
        <w:left w:w="0" w:type="dxa"/>
        <w:bottom w:w="0" w:type="dxa"/>
        <w:right w:w="0" w:type="dxa"/>
      </w:tblCellMar>
    </w:tblPr>
  </w:style>
  <w:style w:type="character" w:styleId="Rimandonotaapidipagina">
    <w:name w:val="footnote reference"/>
    <w:uiPriority w:val="99"/>
    <w:semiHidden/>
    <w:rsid w:val="00F66351"/>
    <w:rPr>
      <w:vertAlign w:val="superscript"/>
    </w:rPr>
  </w:style>
  <w:style w:type="character" w:styleId="Collegamentoipertestuale">
    <w:name w:val="Hyperlink"/>
    <w:basedOn w:val="Carpredefinitoparagrafo"/>
    <w:uiPriority w:val="99"/>
    <w:unhideWhenUsed/>
    <w:rsid w:val="00987CE4"/>
    <w:rPr>
      <w:color w:val="0000FF" w:themeColor="hyperlink"/>
      <w:u w:val="single"/>
    </w:rPr>
  </w:style>
  <w:style w:type="character" w:styleId="Menzionenonrisolta">
    <w:name w:val="Unresolved Mention"/>
    <w:basedOn w:val="Carpredefinitoparagrafo"/>
    <w:uiPriority w:val="99"/>
    <w:semiHidden/>
    <w:unhideWhenUsed/>
    <w:rsid w:val="00987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u.camcom.it/"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ameraCommercioLuc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lu.camcom.i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2BA59-3850-42ED-B8AD-A5F017172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1357</Words>
  <Characters>7736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Sargenti Francesca</dc:creator>
  <dc:description/>
  <cp:lastModifiedBy>Segreteria Generale</cp:lastModifiedBy>
  <cp:revision>4</cp:revision>
  <cp:lastPrinted>2022-03-01T13:42:00Z</cp:lastPrinted>
  <dcterms:created xsi:type="dcterms:W3CDTF">2022-04-21T11:31:00Z</dcterms:created>
  <dcterms:modified xsi:type="dcterms:W3CDTF">2022-04-21T11:44:00Z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