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CAEF" w14:textId="77777777" w:rsidR="00571833" w:rsidRDefault="00571833">
      <w:pPr>
        <w:pBdr>
          <w:top w:val="nil"/>
          <w:left w:val="nil"/>
          <w:bottom w:val="nil"/>
          <w:right w:val="nil"/>
          <w:between w:val="nil"/>
        </w:pBdr>
        <w:jc w:val="center"/>
        <w:rPr>
          <w:rFonts w:ascii="Verdana" w:eastAsia="Verdana" w:hAnsi="Verdana" w:cs="Verdana"/>
          <w:color w:val="000000"/>
        </w:rPr>
      </w:pPr>
    </w:p>
    <w:p w14:paraId="4E8A538A" w14:textId="77777777" w:rsidR="00E655A7" w:rsidRDefault="00E655A7">
      <w:pPr>
        <w:pBdr>
          <w:top w:val="nil"/>
          <w:left w:val="nil"/>
          <w:bottom w:val="nil"/>
          <w:right w:val="nil"/>
          <w:between w:val="nil"/>
        </w:pBdr>
        <w:jc w:val="center"/>
        <w:rPr>
          <w:rFonts w:ascii="Verdana" w:eastAsia="Verdana" w:hAnsi="Verdana" w:cs="Verdana"/>
          <w:b/>
          <w:bCs/>
          <w:color w:val="000000"/>
          <w:sz w:val="22"/>
          <w:szCs w:val="22"/>
        </w:rPr>
      </w:pPr>
      <w:r w:rsidRPr="00E655A7">
        <w:rPr>
          <w:rFonts w:ascii="Verdana" w:eastAsia="Verdana" w:hAnsi="Verdana" w:cs="Verdana"/>
          <w:b/>
          <w:bCs/>
          <w:color w:val="000000"/>
          <w:sz w:val="22"/>
          <w:szCs w:val="22"/>
        </w:rPr>
        <w:t>Lavoro: a luglio oltre 4mila assunzioni previste dalle imprese lucchesi</w:t>
      </w:r>
    </w:p>
    <w:p w14:paraId="590E504C" w14:textId="70CEB6A8" w:rsidR="00571833" w:rsidRDefault="00571833" w:rsidP="00702153">
      <w:pPr>
        <w:pBdr>
          <w:top w:val="nil"/>
          <w:left w:val="nil"/>
          <w:bottom w:val="nil"/>
          <w:right w:val="nil"/>
          <w:between w:val="nil"/>
        </w:pBdr>
        <w:jc w:val="both"/>
        <w:rPr>
          <w:rFonts w:ascii="Verdana" w:eastAsia="Verdana" w:hAnsi="Verdana" w:cs="Verdana"/>
          <w:color w:val="000000"/>
          <w:sz w:val="22"/>
          <w:szCs w:val="22"/>
        </w:rPr>
      </w:pPr>
    </w:p>
    <w:p w14:paraId="45424DDB" w14:textId="1BB1AA18" w:rsidR="00926965" w:rsidRDefault="00926965" w:rsidP="00702153">
      <w:pPr>
        <w:pBdr>
          <w:top w:val="nil"/>
          <w:left w:val="nil"/>
          <w:bottom w:val="nil"/>
          <w:right w:val="nil"/>
          <w:between w:val="nil"/>
        </w:pBdr>
        <w:jc w:val="both"/>
        <w:rPr>
          <w:rFonts w:ascii="Verdana" w:eastAsia="Verdana" w:hAnsi="Verdana" w:cs="Verdana"/>
          <w:color w:val="000000"/>
          <w:sz w:val="22"/>
          <w:szCs w:val="22"/>
        </w:rPr>
      </w:pPr>
    </w:p>
    <w:p w14:paraId="312EC3B1" w14:textId="77777777" w:rsidR="00926965" w:rsidRPr="00702153" w:rsidRDefault="00926965" w:rsidP="00702153">
      <w:pPr>
        <w:pBdr>
          <w:top w:val="nil"/>
          <w:left w:val="nil"/>
          <w:bottom w:val="nil"/>
          <w:right w:val="nil"/>
          <w:between w:val="nil"/>
        </w:pBdr>
        <w:jc w:val="both"/>
        <w:rPr>
          <w:rFonts w:ascii="Verdana" w:eastAsia="Verdana" w:hAnsi="Verdana" w:cs="Verdana"/>
          <w:color w:val="000000"/>
          <w:sz w:val="22"/>
          <w:szCs w:val="22"/>
        </w:rPr>
      </w:pPr>
    </w:p>
    <w:p w14:paraId="3E93A536" w14:textId="47FEC97E" w:rsidR="00E655A7" w:rsidRPr="00E655A7" w:rsidRDefault="00321CA4" w:rsidP="00E655A7">
      <w:pPr>
        <w:pBdr>
          <w:top w:val="nil"/>
          <w:left w:val="nil"/>
          <w:bottom w:val="nil"/>
          <w:right w:val="nil"/>
          <w:between w:val="nil"/>
        </w:pBdr>
        <w:jc w:val="both"/>
        <w:rPr>
          <w:rFonts w:ascii="Verdana" w:eastAsia="Verdana" w:hAnsi="Verdana" w:cs="Verdana"/>
          <w:bCs/>
          <w:color w:val="000000"/>
          <w:sz w:val="22"/>
          <w:szCs w:val="22"/>
        </w:rPr>
      </w:pPr>
      <w:r w:rsidRPr="00702153">
        <w:rPr>
          <w:rFonts w:ascii="Verdana" w:eastAsia="Verdana" w:hAnsi="Verdana" w:cs="Verdana"/>
          <w:i/>
          <w:color w:val="000000"/>
          <w:sz w:val="22"/>
          <w:szCs w:val="22"/>
        </w:rPr>
        <w:t>Lucca,</w:t>
      </w:r>
      <w:r w:rsidR="004C5931">
        <w:rPr>
          <w:rFonts w:ascii="Verdana" w:eastAsia="Verdana" w:hAnsi="Verdana" w:cs="Verdana"/>
          <w:i/>
          <w:color w:val="000000"/>
          <w:sz w:val="22"/>
          <w:szCs w:val="22"/>
        </w:rPr>
        <w:t xml:space="preserve"> </w:t>
      </w:r>
      <w:r w:rsidR="00E655A7">
        <w:rPr>
          <w:rFonts w:ascii="Verdana" w:eastAsia="Verdana" w:hAnsi="Verdana" w:cs="Verdana"/>
          <w:i/>
          <w:color w:val="000000"/>
          <w:sz w:val="22"/>
          <w:szCs w:val="22"/>
        </w:rPr>
        <w:t>13 luglio</w:t>
      </w:r>
      <w:r w:rsidR="000A153A">
        <w:rPr>
          <w:rFonts w:ascii="Verdana" w:eastAsia="Verdana" w:hAnsi="Verdana" w:cs="Verdana"/>
          <w:i/>
          <w:color w:val="000000"/>
          <w:sz w:val="22"/>
          <w:szCs w:val="22"/>
        </w:rPr>
        <w:t xml:space="preserve"> 2021</w:t>
      </w:r>
      <w:r w:rsidRPr="00702153">
        <w:rPr>
          <w:rFonts w:ascii="Verdana" w:eastAsia="Verdana" w:hAnsi="Verdana" w:cs="Verdana"/>
          <w:b/>
          <w:i/>
          <w:color w:val="000000"/>
          <w:sz w:val="22"/>
          <w:szCs w:val="22"/>
        </w:rPr>
        <w:t xml:space="preserve"> </w:t>
      </w:r>
      <w:r w:rsidRPr="00702153">
        <w:rPr>
          <w:rFonts w:ascii="Verdana" w:eastAsia="Verdana" w:hAnsi="Verdana" w:cs="Verdana"/>
          <w:b/>
          <w:color w:val="000000"/>
          <w:sz w:val="22"/>
          <w:szCs w:val="22"/>
        </w:rPr>
        <w:t>–</w:t>
      </w:r>
      <w:r w:rsidR="00D02ED9">
        <w:rPr>
          <w:rFonts w:ascii="Verdana" w:eastAsia="Verdana" w:hAnsi="Verdana" w:cs="Verdana"/>
          <w:b/>
          <w:color w:val="000000"/>
          <w:sz w:val="22"/>
          <w:szCs w:val="22"/>
        </w:rPr>
        <w:t xml:space="preserve"> </w:t>
      </w:r>
      <w:r w:rsidR="00E655A7" w:rsidRPr="00E655A7">
        <w:rPr>
          <w:rFonts w:ascii="Verdana" w:eastAsia="Verdana" w:hAnsi="Verdana" w:cs="Verdana"/>
          <w:bCs/>
          <w:color w:val="000000"/>
          <w:sz w:val="22"/>
          <w:szCs w:val="22"/>
        </w:rPr>
        <w:t xml:space="preserve">Sono oltre 4mila le opportunità di lavoro offerte nel mese di luglio 2021 dalle imprese lucchesi con dipendenti del settore industriale e dei servizi, e salgono a circa 8.300 nell’intero trimestre luglio-settembre. </w:t>
      </w:r>
    </w:p>
    <w:p w14:paraId="4135D1BF"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r w:rsidRPr="00E655A7">
        <w:rPr>
          <w:rFonts w:ascii="Verdana" w:eastAsia="Verdana" w:hAnsi="Verdana" w:cs="Verdana"/>
          <w:bCs/>
          <w:color w:val="000000"/>
          <w:sz w:val="22"/>
          <w:szCs w:val="22"/>
        </w:rPr>
        <w:t>Nell’attuale quadro di ripresa economica crescono i flussi delle assunzioni previsti per il mese di luglio, con una domanda di lavoro che supera i livelli di luglio 2019 (+1.250 con riferimento al mese; +1.960 nel trimestre). Sono queste le previsioni per la provincia di Lucca rilevate dal Sistema informativo Excelsior, realizzato da Unioncamere in collaborazione con ANPAL, ed elaborate dalla Camera di Commercio di Lucca.</w:t>
      </w:r>
    </w:p>
    <w:p w14:paraId="48BC7104"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p>
    <w:p w14:paraId="00487E20" w14:textId="77777777" w:rsidR="00E655A7" w:rsidRPr="00E655A7" w:rsidRDefault="00E655A7" w:rsidP="00E655A7">
      <w:pPr>
        <w:pBdr>
          <w:top w:val="nil"/>
          <w:left w:val="nil"/>
          <w:bottom w:val="nil"/>
          <w:right w:val="nil"/>
          <w:between w:val="nil"/>
        </w:pBdr>
        <w:jc w:val="both"/>
        <w:rPr>
          <w:rFonts w:ascii="Verdana" w:eastAsia="Verdana" w:hAnsi="Verdana" w:cs="Verdana"/>
          <w:b/>
          <w:color w:val="000000"/>
          <w:sz w:val="22"/>
          <w:szCs w:val="22"/>
        </w:rPr>
      </w:pPr>
      <w:r w:rsidRPr="00E655A7">
        <w:rPr>
          <w:rFonts w:ascii="Verdana" w:eastAsia="Verdana" w:hAnsi="Verdana" w:cs="Verdana"/>
          <w:b/>
          <w:color w:val="000000"/>
          <w:sz w:val="22"/>
          <w:szCs w:val="22"/>
        </w:rPr>
        <w:t>Andamenti settoriali</w:t>
      </w:r>
    </w:p>
    <w:p w14:paraId="781B32AA"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r w:rsidRPr="00E655A7">
        <w:rPr>
          <w:rFonts w:ascii="Verdana" w:eastAsia="Verdana" w:hAnsi="Verdana" w:cs="Verdana"/>
          <w:bCs/>
          <w:color w:val="000000"/>
          <w:sz w:val="22"/>
          <w:szCs w:val="22"/>
        </w:rPr>
        <w:t>A trainare le assunzioni in provincia sono le imprese dei servizi che programmano 3.090 assunzioni nel mese di luglio, grazie soprattutto alla ripresa del turismo (alloggio, ristorazione e servizi turistici) che supera i livelli pre-Covid con 1.500 entrate programmate nel mese. Seguono i servizi alle imprese (640 entrate) e alle persone (580 entrate). Il commercio mostra timidi segnali di ripresa (380 entrate previste) pur restando ancora sotto i livelli di luglio 2019 (410; -7,3%).</w:t>
      </w:r>
    </w:p>
    <w:p w14:paraId="4673A7EF"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r w:rsidRPr="00E655A7">
        <w:rPr>
          <w:rFonts w:ascii="Verdana" w:eastAsia="Verdana" w:hAnsi="Verdana" w:cs="Verdana"/>
          <w:bCs/>
          <w:color w:val="000000"/>
          <w:sz w:val="22"/>
          <w:szCs w:val="22"/>
        </w:rPr>
        <w:t xml:space="preserve">Buona anche la richiesta di manifatturiero e public utilities con 740 entrate previste, in particolare, dalle industrie metalmeccaniche ed elettroniche (270 assunzioni), dalle industrie alimentari (110), dalla carta e cartotecnica (90), dalla metallurgia e prodotti in metallo (80) e dalla chimica e farmaceutica (50). Positiva anche la domanda di lavoro delle costruzioni che si attesta a 200 unità. </w:t>
      </w:r>
    </w:p>
    <w:p w14:paraId="5DFE4D92"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p>
    <w:p w14:paraId="7FF2BA65" w14:textId="77777777" w:rsidR="00E655A7" w:rsidRPr="00E655A7" w:rsidRDefault="00E655A7" w:rsidP="00E655A7">
      <w:pPr>
        <w:pBdr>
          <w:top w:val="nil"/>
          <w:left w:val="nil"/>
          <w:bottom w:val="nil"/>
          <w:right w:val="nil"/>
          <w:between w:val="nil"/>
        </w:pBdr>
        <w:jc w:val="both"/>
        <w:rPr>
          <w:rFonts w:ascii="Verdana" w:eastAsia="Verdana" w:hAnsi="Verdana" w:cs="Verdana"/>
          <w:b/>
          <w:color w:val="000000"/>
          <w:sz w:val="22"/>
          <w:szCs w:val="22"/>
        </w:rPr>
      </w:pPr>
      <w:r w:rsidRPr="00E655A7">
        <w:rPr>
          <w:rFonts w:ascii="Verdana" w:eastAsia="Verdana" w:hAnsi="Verdana" w:cs="Verdana"/>
          <w:b/>
          <w:color w:val="000000"/>
          <w:sz w:val="22"/>
          <w:szCs w:val="22"/>
        </w:rPr>
        <w:t>Professioni e indirizzi di studio</w:t>
      </w:r>
    </w:p>
    <w:p w14:paraId="1DE5A529"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r w:rsidRPr="00E655A7">
        <w:rPr>
          <w:rFonts w:ascii="Verdana" w:eastAsia="Verdana" w:hAnsi="Verdana" w:cs="Verdana"/>
          <w:bCs/>
          <w:color w:val="000000"/>
          <w:sz w:val="22"/>
          <w:szCs w:val="22"/>
        </w:rPr>
        <w:t>Tra le figure professionali, rispetto al 2019 le imprese ricercano maggiormente profili legati alla ripartenza della filiera turistica (cuochi, camerieri e altre professioni dei servizi turistici: 1.250), personale qualificato del commercio (190), amministrativi (170) e addetti ai servizi di sicurezza (140).</w:t>
      </w:r>
    </w:p>
    <w:p w14:paraId="0DFDE21A"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r w:rsidRPr="00E655A7">
        <w:rPr>
          <w:rFonts w:ascii="Verdana" w:eastAsia="Verdana" w:hAnsi="Verdana" w:cs="Verdana"/>
          <w:bCs/>
          <w:color w:val="000000"/>
          <w:sz w:val="22"/>
          <w:szCs w:val="22"/>
        </w:rPr>
        <w:t>Tra gli impiegati specializzati risulta elevata la domanda di tecnici in campo informatico, ingegneristico e della produzione (140 assunzioni previste), mentre tra gli operai specializzati la maggiore richiesta riguarda conduttori di mezzi di trasporto (160), operai specializzati nell’edilizia e nella manutenzione degli edifici (160) e operai nelle attività metalmeccaniche ed elettromeccaniche (140).</w:t>
      </w:r>
    </w:p>
    <w:p w14:paraId="5FD7A881"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r w:rsidRPr="00E655A7">
        <w:rPr>
          <w:rFonts w:ascii="Verdana" w:eastAsia="Verdana" w:hAnsi="Verdana" w:cs="Verdana"/>
          <w:bCs/>
          <w:color w:val="000000"/>
          <w:sz w:val="22"/>
          <w:szCs w:val="22"/>
        </w:rPr>
        <w:t xml:space="preserve">Rispetto al periodo pre-Covid cresce la domanda di personale senza uno specifico titolo di studio (1.690; 42%), mentre la richiesta di laureati (320; 8% del totale) risulta stabile rispetto a luglio 2019: fra le lauree più ricercate le imprese segnalano l’indirizzo economico, quello dell’insegnamento e formazione (60 entrate per ciascuno) e l’indirizzo di ingegneria industriale (40). Tra i diplomi secondari (1.100; 27%) più richiesti si segnala l’indirizzo turismo, enogastronomia e ospitalità (300 entrate previste), seguito nelle indicazioni delle imprese da amministrazione, finanza e marketing (280), dal </w:t>
      </w:r>
      <w:proofErr w:type="gramStart"/>
      <w:r w:rsidRPr="00E655A7">
        <w:rPr>
          <w:rFonts w:ascii="Verdana" w:eastAsia="Verdana" w:hAnsi="Verdana" w:cs="Verdana"/>
          <w:bCs/>
          <w:color w:val="000000"/>
          <w:sz w:val="22"/>
          <w:szCs w:val="22"/>
        </w:rPr>
        <w:t>socio-sanitario</w:t>
      </w:r>
      <w:proofErr w:type="gramEnd"/>
      <w:r w:rsidRPr="00E655A7">
        <w:rPr>
          <w:rFonts w:ascii="Verdana" w:eastAsia="Verdana" w:hAnsi="Verdana" w:cs="Verdana"/>
          <w:bCs/>
          <w:color w:val="000000"/>
          <w:sz w:val="22"/>
          <w:szCs w:val="22"/>
        </w:rPr>
        <w:t xml:space="preserve"> (120) e da meccanica, meccatronica ed energia (110). Tra le qualifiche di formazione professionale (900; 22%) primeggia l’indirizzo ristorazione con 430 ingressi, seguito da trasformazione alimentare, meccanica e servizi di promozione e accoglienza con 80 entrate ciascuno.</w:t>
      </w:r>
    </w:p>
    <w:p w14:paraId="6F684B61"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p>
    <w:p w14:paraId="0F20C55F"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r w:rsidRPr="00E655A7">
        <w:rPr>
          <w:rFonts w:ascii="Verdana" w:eastAsia="Verdana" w:hAnsi="Verdana" w:cs="Verdana"/>
          <w:bCs/>
          <w:color w:val="000000"/>
          <w:sz w:val="22"/>
          <w:szCs w:val="22"/>
        </w:rPr>
        <w:lastRenderedPageBreak/>
        <w:t xml:space="preserve">Il 30% delle entrate previste interesserà giovani con meno di 30 </w:t>
      </w:r>
      <w:proofErr w:type="gramStart"/>
      <w:r w:rsidRPr="00E655A7">
        <w:rPr>
          <w:rFonts w:ascii="Verdana" w:eastAsia="Verdana" w:hAnsi="Verdana" w:cs="Verdana"/>
          <w:bCs/>
          <w:color w:val="000000"/>
          <w:sz w:val="22"/>
          <w:szCs w:val="22"/>
        </w:rPr>
        <w:t>anni:  fra</w:t>
      </w:r>
      <w:proofErr w:type="gramEnd"/>
      <w:r w:rsidRPr="00E655A7">
        <w:rPr>
          <w:rFonts w:ascii="Verdana" w:eastAsia="Verdana" w:hAnsi="Verdana" w:cs="Verdana"/>
          <w:bCs/>
          <w:color w:val="000000"/>
          <w:sz w:val="22"/>
          <w:szCs w:val="22"/>
        </w:rPr>
        <w:t xml:space="preserve"> le professioni maggiormente offerte ai giovani si trovano in particolare cuochi, camerieri e altre professioni dei servizi turistici (450), operai specializzati e conduttori di impianti nell'industria alimentare (70), commessi e altro personale qualificato in negozi ed esercizi all'ingrosso e operai nelle attività metalmeccaniche ed elettromeccaniche (60 per entrambi).</w:t>
      </w:r>
    </w:p>
    <w:p w14:paraId="77408E2C"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p>
    <w:p w14:paraId="029B24D3"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r w:rsidRPr="00E655A7">
        <w:rPr>
          <w:rFonts w:ascii="Verdana" w:eastAsia="Verdana" w:hAnsi="Verdana" w:cs="Verdana"/>
          <w:bCs/>
          <w:color w:val="000000"/>
          <w:sz w:val="22"/>
          <w:szCs w:val="22"/>
        </w:rPr>
        <w:t>Solo il 15% delle assunzioni è rivolto esplicitamente a personale di genere femminile, mentre il 29% delle posizioni è rivolto a maschi; per il restante 55% delle entrate programmate non è prevista una preferenza di genere.</w:t>
      </w:r>
    </w:p>
    <w:p w14:paraId="14E0696E"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p>
    <w:p w14:paraId="00394BFA" w14:textId="77777777" w:rsidR="00E655A7" w:rsidRPr="00E655A7" w:rsidRDefault="00E655A7" w:rsidP="00E655A7">
      <w:pPr>
        <w:pBdr>
          <w:top w:val="nil"/>
          <w:left w:val="nil"/>
          <w:bottom w:val="nil"/>
          <w:right w:val="nil"/>
          <w:between w:val="nil"/>
        </w:pBdr>
        <w:jc w:val="both"/>
        <w:rPr>
          <w:rFonts w:ascii="Verdana" w:eastAsia="Verdana" w:hAnsi="Verdana" w:cs="Verdana"/>
          <w:b/>
          <w:color w:val="000000"/>
          <w:sz w:val="22"/>
          <w:szCs w:val="22"/>
        </w:rPr>
      </w:pPr>
      <w:r w:rsidRPr="00E655A7">
        <w:rPr>
          <w:rFonts w:ascii="Verdana" w:eastAsia="Verdana" w:hAnsi="Verdana" w:cs="Verdana"/>
          <w:b/>
          <w:color w:val="000000"/>
          <w:sz w:val="22"/>
          <w:szCs w:val="22"/>
        </w:rPr>
        <w:t>Le tipologie dei contratti</w:t>
      </w:r>
    </w:p>
    <w:p w14:paraId="312463FA"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r w:rsidRPr="00E655A7">
        <w:rPr>
          <w:rFonts w:ascii="Verdana" w:eastAsia="Verdana" w:hAnsi="Verdana" w:cs="Verdana"/>
          <w:bCs/>
          <w:color w:val="000000"/>
          <w:sz w:val="22"/>
          <w:szCs w:val="22"/>
        </w:rPr>
        <w:t xml:space="preserve">Due entrate su tre (67%) sono previste con contratto a tempo determinato, seguono i contratti a tempo indeterminato (11%), quelli di somministrazione (8%) e di apprendistato (5%). Le altre tipologie contrattuali riguarderanno il restante 9% circa delle entrate programmate. </w:t>
      </w:r>
    </w:p>
    <w:p w14:paraId="5C1C4377" w14:textId="77777777" w:rsidR="00E655A7" w:rsidRPr="00E655A7" w:rsidRDefault="00E655A7" w:rsidP="00E655A7">
      <w:pPr>
        <w:pBdr>
          <w:top w:val="nil"/>
          <w:left w:val="nil"/>
          <w:bottom w:val="nil"/>
          <w:right w:val="nil"/>
          <w:between w:val="nil"/>
        </w:pBdr>
        <w:jc w:val="both"/>
        <w:rPr>
          <w:rFonts w:ascii="Verdana" w:eastAsia="Verdana" w:hAnsi="Verdana" w:cs="Verdana"/>
          <w:bCs/>
          <w:color w:val="000000"/>
          <w:sz w:val="22"/>
          <w:szCs w:val="22"/>
        </w:rPr>
      </w:pPr>
    </w:p>
    <w:p w14:paraId="435505B2" w14:textId="77777777" w:rsidR="00E655A7" w:rsidRPr="00E655A7" w:rsidRDefault="00E655A7" w:rsidP="00E655A7">
      <w:pPr>
        <w:pBdr>
          <w:top w:val="nil"/>
          <w:left w:val="nil"/>
          <w:bottom w:val="nil"/>
          <w:right w:val="nil"/>
          <w:between w:val="nil"/>
        </w:pBdr>
        <w:jc w:val="both"/>
        <w:rPr>
          <w:rFonts w:ascii="Verdana" w:eastAsia="Verdana" w:hAnsi="Verdana" w:cs="Verdana"/>
          <w:b/>
          <w:color w:val="000000"/>
          <w:sz w:val="22"/>
          <w:szCs w:val="22"/>
        </w:rPr>
      </w:pPr>
      <w:r w:rsidRPr="00E655A7">
        <w:rPr>
          <w:rFonts w:ascii="Verdana" w:eastAsia="Verdana" w:hAnsi="Verdana" w:cs="Verdana"/>
          <w:b/>
          <w:color w:val="000000"/>
          <w:sz w:val="22"/>
          <w:szCs w:val="22"/>
        </w:rPr>
        <w:t xml:space="preserve">Difficoltà di reperimento </w:t>
      </w:r>
    </w:p>
    <w:p w14:paraId="1741B68A" w14:textId="3145F138" w:rsidR="00D02ED9" w:rsidRDefault="00E655A7" w:rsidP="00E655A7">
      <w:pPr>
        <w:pBdr>
          <w:top w:val="nil"/>
          <w:left w:val="nil"/>
          <w:bottom w:val="nil"/>
          <w:right w:val="nil"/>
          <w:between w:val="nil"/>
        </w:pBdr>
        <w:jc w:val="both"/>
        <w:rPr>
          <w:rFonts w:ascii="Verdana" w:eastAsia="Verdana" w:hAnsi="Verdana" w:cs="Verdana"/>
          <w:bCs/>
          <w:color w:val="000000"/>
          <w:sz w:val="22"/>
          <w:szCs w:val="22"/>
        </w:rPr>
      </w:pPr>
      <w:r w:rsidRPr="00E655A7">
        <w:rPr>
          <w:rFonts w:ascii="Verdana" w:eastAsia="Verdana" w:hAnsi="Verdana" w:cs="Verdana"/>
          <w:bCs/>
          <w:color w:val="000000"/>
          <w:sz w:val="22"/>
          <w:szCs w:val="22"/>
        </w:rPr>
        <w:t>Il 29,6% dei profili professionali ricercati dalle imprese (1.200 unità) è considerato di difficile reperimento, prevalentemente per mancanza di candidati (16,1%) o inadeguatezza degli stessi (11,3%). Le maggiori difficoltà interessano la ricerca di dirigenti e professionisti/tecnici con elevata specializzazione, considerati difficili da reperire nel 47,1% dei casi, operai specializzati e conduttori di impianti e macchine (37,2% delle entrate previste), mentre per impiegati e gli addetti commerciali e nei servizi la difficoltà scende al 24,1%.</w:t>
      </w:r>
    </w:p>
    <w:p w14:paraId="6343CA6F" w14:textId="3AB9DD0A" w:rsidR="006C264A" w:rsidRDefault="006C264A" w:rsidP="00E655A7">
      <w:pPr>
        <w:pBdr>
          <w:top w:val="nil"/>
          <w:left w:val="nil"/>
          <w:bottom w:val="nil"/>
          <w:right w:val="nil"/>
          <w:between w:val="nil"/>
        </w:pBdr>
        <w:jc w:val="both"/>
        <w:rPr>
          <w:rFonts w:ascii="Verdana" w:eastAsia="Verdana" w:hAnsi="Verdana" w:cs="Verdana"/>
          <w:bCs/>
          <w:color w:val="000000"/>
          <w:sz w:val="22"/>
          <w:szCs w:val="22"/>
        </w:rPr>
      </w:pPr>
    </w:p>
    <w:p w14:paraId="0761A4E0" w14:textId="77777777" w:rsidR="006C264A" w:rsidRDefault="006C264A" w:rsidP="00E655A7">
      <w:pPr>
        <w:pBdr>
          <w:top w:val="nil"/>
          <w:left w:val="nil"/>
          <w:bottom w:val="nil"/>
          <w:right w:val="nil"/>
          <w:between w:val="nil"/>
        </w:pBdr>
        <w:jc w:val="both"/>
        <w:rPr>
          <w:rFonts w:ascii="Verdana" w:eastAsia="Verdana" w:hAnsi="Verdana" w:cs="Verdana"/>
          <w:bCs/>
          <w:color w:val="000000"/>
          <w:sz w:val="22"/>
          <w:szCs w:val="22"/>
        </w:rPr>
      </w:pPr>
    </w:p>
    <w:p w14:paraId="79902B57" w14:textId="77777777" w:rsidR="00D02ED9" w:rsidRDefault="00D02ED9" w:rsidP="00D02ED9">
      <w:pPr>
        <w:pBdr>
          <w:top w:val="nil"/>
          <w:left w:val="nil"/>
          <w:bottom w:val="nil"/>
          <w:right w:val="nil"/>
          <w:between w:val="nil"/>
        </w:pBdr>
        <w:jc w:val="both"/>
        <w:rPr>
          <w:rFonts w:ascii="Verdana" w:eastAsia="Verdana" w:hAnsi="Verdana" w:cs="Verdana"/>
          <w:bCs/>
          <w:color w:val="000000"/>
          <w:sz w:val="22"/>
          <w:szCs w:val="22"/>
        </w:rPr>
      </w:pPr>
    </w:p>
    <w:p w14:paraId="31AC17A4" w14:textId="77777777" w:rsidR="00297082" w:rsidRPr="00B10E6F" w:rsidRDefault="00297082" w:rsidP="00B10E6F">
      <w:pPr>
        <w:pBdr>
          <w:top w:val="nil"/>
          <w:left w:val="nil"/>
          <w:bottom w:val="nil"/>
          <w:right w:val="nil"/>
          <w:between w:val="nil"/>
        </w:pBdr>
        <w:jc w:val="both"/>
        <w:rPr>
          <w:rFonts w:ascii="Verdana" w:eastAsia="Verdana" w:hAnsi="Verdana" w:cs="Verdana"/>
          <w:bCs/>
          <w:color w:val="000000"/>
          <w:sz w:val="22"/>
          <w:szCs w:val="22"/>
        </w:rPr>
      </w:pPr>
    </w:p>
    <w:p w14:paraId="73B3ABB0" w14:textId="77777777" w:rsidR="00571833" w:rsidRDefault="00571833">
      <w:pPr>
        <w:pBdr>
          <w:top w:val="nil"/>
          <w:left w:val="nil"/>
          <w:bottom w:val="nil"/>
          <w:right w:val="nil"/>
          <w:between w:val="nil"/>
        </w:pBdr>
        <w:rPr>
          <w:rFonts w:ascii="Verdana" w:eastAsia="Verdana" w:hAnsi="Verdana" w:cs="Verdana"/>
          <w:color w:val="000000"/>
          <w:sz w:val="24"/>
          <w:szCs w:val="24"/>
        </w:rPr>
      </w:pPr>
    </w:p>
    <w:tbl>
      <w:tblPr>
        <w:tblStyle w:val="a"/>
        <w:tblW w:w="9581" w:type="dxa"/>
        <w:tblInd w:w="0" w:type="dxa"/>
        <w:tblLayout w:type="fixed"/>
        <w:tblLook w:val="0000" w:firstRow="0" w:lastRow="0" w:firstColumn="0" w:lastColumn="0" w:noHBand="0" w:noVBand="0"/>
      </w:tblPr>
      <w:tblGrid>
        <w:gridCol w:w="6015"/>
        <w:gridCol w:w="3566"/>
      </w:tblGrid>
      <w:tr w:rsidR="00571833" w14:paraId="1B946500" w14:textId="77777777">
        <w:trPr>
          <w:trHeight w:val="680"/>
        </w:trPr>
        <w:tc>
          <w:tcPr>
            <w:tcW w:w="6015" w:type="dxa"/>
          </w:tcPr>
          <w:p w14:paraId="4ECE65BD"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18"/>
                <w:szCs w:val="18"/>
              </w:rPr>
              <w:t>Ufficio Stampa – Relazioni Esterne</w:t>
            </w:r>
          </w:p>
          <w:p w14:paraId="5F21E597"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18"/>
                <w:szCs w:val="18"/>
              </w:rPr>
              <w:t>Francesca Sargenti</w:t>
            </w:r>
          </w:p>
          <w:p w14:paraId="3271BB35"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18"/>
                <w:szCs w:val="18"/>
              </w:rPr>
              <w:t>Tel. +39 0583 976.686 - cell. +39 338 7768286</w:t>
            </w:r>
          </w:p>
        </w:tc>
        <w:tc>
          <w:tcPr>
            <w:tcW w:w="3566" w:type="dxa"/>
          </w:tcPr>
          <w:p w14:paraId="5027A291" w14:textId="77777777" w:rsidR="00571833" w:rsidRDefault="006C264A">
            <w:pPr>
              <w:pBdr>
                <w:top w:val="nil"/>
                <w:left w:val="nil"/>
                <w:bottom w:val="nil"/>
                <w:right w:val="nil"/>
                <w:between w:val="nil"/>
              </w:pBdr>
              <w:jc w:val="right"/>
              <w:rPr>
                <w:rFonts w:ascii="Verdana" w:eastAsia="Verdana" w:hAnsi="Verdana" w:cs="Verdana"/>
                <w:color w:val="000000"/>
                <w:sz w:val="22"/>
                <w:szCs w:val="22"/>
              </w:rPr>
            </w:pPr>
            <w:hyperlink r:id="rId7">
              <w:r w:rsidR="00321CA4">
                <w:rPr>
                  <w:rFonts w:ascii="Verdana" w:eastAsia="Verdana" w:hAnsi="Verdana" w:cs="Verdana"/>
                  <w:noProof/>
                  <w:color w:val="000000"/>
                  <w:sz w:val="24"/>
                  <w:szCs w:val="24"/>
                </w:rPr>
                <w:drawing>
                  <wp:inline distT="0" distB="0" distL="114300" distR="114300" wp14:anchorId="66843E66" wp14:editId="7A5ABA6C">
                    <wp:extent cx="219075" cy="21907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19075" cy="219075"/>
                            </a:xfrm>
                            <a:prstGeom prst="rect">
                              <a:avLst/>
                            </a:prstGeom>
                            <a:ln/>
                          </pic:spPr>
                        </pic:pic>
                      </a:graphicData>
                    </a:graphic>
                  </wp:inline>
                </w:drawing>
              </w:r>
            </w:hyperlink>
            <w:r w:rsidR="00321CA4">
              <w:rPr>
                <w:rFonts w:ascii="Verdana" w:eastAsia="Verdana" w:hAnsi="Verdana" w:cs="Verdana"/>
                <w:b/>
                <w:color w:val="000000"/>
                <w:sz w:val="24"/>
                <w:szCs w:val="24"/>
              </w:rPr>
              <w:t xml:space="preserve"> </w:t>
            </w:r>
            <w:hyperlink r:id="rId9">
              <w:r w:rsidR="00321CA4">
                <w:rPr>
                  <w:rFonts w:ascii="Verdana" w:eastAsia="Verdana" w:hAnsi="Verdana" w:cs="Verdana"/>
                  <w:noProof/>
                  <w:color w:val="000000"/>
                  <w:sz w:val="24"/>
                  <w:szCs w:val="24"/>
                </w:rPr>
                <w:drawing>
                  <wp:inline distT="0" distB="0" distL="114300" distR="114300" wp14:anchorId="05AECC9B" wp14:editId="1DEC0418">
                    <wp:extent cx="225425" cy="22542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25425" cy="225425"/>
                            </a:xfrm>
                            <a:prstGeom prst="rect">
                              <a:avLst/>
                            </a:prstGeom>
                            <a:ln/>
                          </pic:spPr>
                        </pic:pic>
                      </a:graphicData>
                    </a:graphic>
                  </wp:inline>
                </w:drawing>
              </w:r>
            </w:hyperlink>
            <w:r w:rsidR="00321CA4">
              <w:rPr>
                <w:rFonts w:ascii="Verdana" w:eastAsia="Verdana" w:hAnsi="Verdana" w:cs="Verdana"/>
                <w:b/>
                <w:color w:val="000000"/>
                <w:sz w:val="24"/>
                <w:szCs w:val="24"/>
              </w:rPr>
              <w:t xml:space="preserve"> </w:t>
            </w:r>
            <w:hyperlink r:id="rId11">
              <w:r w:rsidR="00321CA4">
                <w:rPr>
                  <w:rFonts w:ascii="Verdana" w:eastAsia="Verdana" w:hAnsi="Verdana" w:cs="Verdana"/>
                  <w:noProof/>
                  <w:color w:val="000000"/>
                  <w:sz w:val="24"/>
                  <w:szCs w:val="24"/>
                </w:rPr>
                <w:drawing>
                  <wp:inline distT="0" distB="0" distL="114300" distR="114300" wp14:anchorId="0265BF86" wp14:editId="14713101">
                    <wp:extent cx="229235" cy="228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29235" cy="228600"/>
                            </a:xfrm>
                            <a:prstGeom prst="rect">
                              <a:avLst/>
                            </a:prstGeom>
                            <a:ln/>
                          </pic:spPr>
                        </pic:pic>
                      </a:graphicData>
                    </a:graphic>
                  </wp:inline>
                </w:drawing>
              </w:r>
            </w:hyperlink>
            <w:hyperlink r:id="rId13">
              <w:r w:rsidR="00321CA4">
                <w:rPr>
                  <w:rFonts w:ascii="Verdana" w:eastAsia="Verdana" w:hAnsi="Verdana" w:cs="Verdana"/>
                  <w:noProof/>
                  <w:color w:val="000000"/>
                  <w:sz w:val="24"/>
                  <w:szCs w:val="24"/>
                </w:rPr>
                <w:drawing>
                  <wp:inline distT="0" distB="0" distL="114300" distR="114300" wp14:anchorId="5571A51E" wp14:editId="03D851C2">
                    <wp:extent cx="428625" cy="22923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28625" cy="229235"/>
                            </a:xfrm>
                            <a:prstGeom prst="rect">
                              <a:avLst/>
                            </a:prstGeom>
                            <a:ln/>
                          </pic:spPr>
                        </pic:pic>
                      </a:graphicData>
                    </a:graphic>
                  </wp:inline>
                </w:drawing>
              </w:r>
            </w:hyperlink>
          </w:p>
        </w:tc>
      </w:tr>
    </w:tbl>
    <w:p w14:paraId="26F3800D" w14:textId="77777777" w:rsidR="00571833" w:rsidRDefault="00571833">
      <w:pPr>
        <w:pBdr>
          <w:top w:val="nil"/>
          <w:left w:val="nil"/>
          <w:bottom w:val="nil"/>
          <w:right w:val="nil"/>
          <w:between w:val="nil"/>
        </w:pBdr>
        <w:rPr>
          <w:rFonts w:ascii="Verdana" w:eastAsia="Verdana" w:hAnsi="Verdana" w:cs="Verdana"/>
          <w:color w:val="000000"/>
          <w:sz w:val="24"/>
          <w:szCs w:val="24"/>
        </w:rPr>
      </w:pPr>
    </w:p>
    <w:sectPr w:rsidR="00571833" w:rsidSect="00926965">
      <w:headerReference w:type="default" r:id="rId15"/>
      <w:footerReference w:type="default" r:id="rId16"/>
      <w:pgSz w:w="11906" w:h="16838"/>
      <w:pgMar w:top="2552" w:right="1134" w:bottom="851" w:left="1134" w:header="426" w:footer="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77DA" w14:textId="77777777" w:rsidR="0067310A" w:rsidRDefault="0067310A">
      <w:r>
        <w:separator/>
      </w:r>
    </w:p>
  </w:endnote>
  <w:endnote w:type="continuationSeparator" w:id="0">
    <w:p w14:paraId="4AB1430D" w14:textId="77777777" w:rsidR="0067310A" w:rsidRDefault="0067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4365" w14:textId="77777777" w:rsidR="00571833" w:rsidRDefault="00571833">
    <w:pPr>
      <w:pBdr>
        <w:top w:val="nil"/>
        <w:left w:val="nil"/>
        <w:bottom w:val="nil"/>
        <w:right w:val="nil"/>
        <w:between w:val="nil"/>
      </w:pBdr>
      <w:jc w:val="both"/>
      <w:rPr>
        <w:rFonts w:ascii="Arial Narrow" w:eastAsia="Arial Narrow" w:hAnsi="Arial Narrow" w:cs="Arial Narrow"/>
        <w:color w:val="000000"/>
        <w:sz w:val="16"/>
        <w:szCs w:val="16"/>
      </w:rPr>
    </w:pPr>
  </w:p>
  <w:p w14:paraId="7E7F6330" w14:textId="77777777" w:rsidR="00571833" w:rsidRDefault="00321CA4">
    <w:pPr>
      <w:pBdr>
        <w:top w:val="nil"/>
        <w:left w:val="nil"/>
        <w:bottom w:val="nil"/>
        <w:right w:val="nil"/>
        <w:between w:val="nil"/>
      </w:pBdr>
      <w:jc w:val="center"/>
      <w:rPr>
        <w:rFonts w:ascii="Arial" w:eastAsia="Arial" w:hAnsi="Arial" w:cs="Arial"/>
        <w:color w:val="000000"/>
        <w:sz w:val="24"/>
        <w:szCs w:val="24"/>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780D1F0C" w14:textId="77777777" w:rsidR="00571833" w:rsidRDefault="00321CA4">
    <w:pPr>
      <w:pBdr>
        <w:top w:val="nil"/>
        <w:left w:val="nil"/>
        <w:bottom w:val="nil"/>
        <w:right w:val="nil"/>
        <w:between w:val="nil"/>
      </w:pBdr>
      <w:ind w:left="851"/>
      <w:jc w:val="center"/>
      <w:rPr>
        <w:rFonts w:ascii="Arial" w:eastAsia="Arial" w:hAnsi="Arial" w:cs="Arial"/>
        <w:color w:val="000000"/>
        <w:sz w:val="24"/>
        <w:szCs w:val="24"/>
      </w:rPr>
    </w:pPr>
    <w:r>
      <w:rPr>
        <w:rFonts w:ascii="Arial Narrow" w:eastAsia="Arial Narrow" w:hAnsi="Arial Narrow" w:cs="Arial Narrow"/>
        <w:color w:val="A09289"/>
        <w:sz w:val="16"/>
        <w:szCs w:val="16"/>
      </w:rPr>
      <w:t>cameracommercio@lu.camcom.it - p.e.c. camera.commercio.lucca@lu.legalmail.camcom.it - www.lu.camcom.it</w:t>
    </w:r>
  </w:p>
  <w:p w14:paraId="2A6CFDE1" w14:textId="77777777" w:rsidR="00571833" w:rsidRDefault="00571833">
    <w:pPr>
      <w:pBdr>
        <w:top w:val="nil"/>
        <w:left w:val="nil"/>
        <w:bottom w:val="nil"/>
        <w:right w:val="nil"/>
        <w:between w:val="nil"/>
      </w:pBd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CF78" w14:textId="77777777" w:rsidR="0067310A" w:rsidRDefault="0067310A">
      <w:r>
        <w:separator/>
      </w:r>
    </w:p>
  </w:footnote>
  <w:footnote w:type="continuationSeparator" w:id="0">
    <w:p w14:paraId="28F7E3ED" w14:textId="77777777" w:rsidR="0067310A" w:rsidRDefault="0067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04FC" w14:textId="7DDBDE45" w:rsidR="00571833" w:rsidRDefault="00535DB2" w:rsidP="00535DB2">
    <w:pPr>
      <w:pStyle w:val="Intestazione"/>
      <w:rPr>
        <w:rFonts w:ascii="Arial" w:eastAsia="Arial" w:hAnsi="Arial" w:cs="Arial"/>
        <w:color w:val="000000"/>
        <w:sz w:val="24"/>
        <w:szCs w:val="24"/>
      </w:rPr>
    </w:pPr>
    <w:r>
      <w:rPr>
        <w:noProof/>
      </w:rPr>
      <w:drawing>
        <wp:inline distT="0" distB="0" distL="0" distR="0" wp14:anchorId="64F3ED88" wp14:editId="1C68F773">
          <wp:extent cx="1962150" cy="5334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1" t="-1727" r="-471" b="-1727"/>
                  <a:stretch>
                    <a:fillRect/>
                  </a:stretch>
                </pic:blipFill>
                <pic:spPr bwMode="auto">
                  <a:xfrm>
                    <a:off x="0" y="0"/>
                    <a:ext cx="1962150" cy="533400"/>
                  </a:xfrm>
                  <a:prstGeom prst="rect">
                    <a:avLst/>
                  </a:prstGeom>
                  <a:solidFill>
                    <a:srgbClr val="FFFFFF">
                      <a:alpha val="0"/>
                    </a:srgbClr>
                  </a:solidFill>
                  <a:ln>
                    <a:noFill/>
                  </a:ln>
                </pic:spPr>
              </pic:pic>
            </a:graphicData>
          </a:graphic>
        </wp:inline>
      </w:drawing>
    </w:r>
    <w:r>
      <w:rPr>
        <w:rFonts w:ascii="Verdana" w:hAnsi="Verdana" w:cs="Verdana"/>
        <w:sz w:val="22"/>
        <w:shd w:val="clear" w:color="auto" w:fill="FFFFFF"/>
      </w:rPr>
      <w:tab/>
    </w:r>
    <w:r>
      <w:rPr>
        <w:rFonts w:ascii="Verdana" w:hAnsi="Verdana" w:cs="Verdana"/>
        <w:sz w:val="22"/>
        <w:shd w:val="clear" w:color="auto" w:fill="FFFFFF"/>
      </w:rPr>
      <w:tab/>
    </w:r>
    <w:r>
      <w:rPr>
        <w:rFonts w:ascii="Verdana" w:hAnsi="Verdana" w:cs="Verdana"/>
        <w:color w:val="808080"/>
        <w:spacing w:val="20"/>
        <w:sz w:val="36"/>
        <w:lang w:val="pt-P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30542"/>
    <w:multiLevelType w:val="hybridMultilevel"/>
    <w:tmpl w:val="02E68820"/>
    <w:lvl w:ilvl="0" w:tplc="A89ACBCE">
      <w:numFmt w:val="bullet"/>
      <w:lvlText w:val="•"/>
      <w:lvlJc w:val="left"/>
      <w:pPr>
        <w:ind w:left="1080" w:hanging="72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8B5957"/>
    <w:multiLevelType w:val="hybridMultilevel"/>
    <w:tmpl w:val="646C0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DE2F1B"/>
    <w:multiLevelType w:val="hybridMultilevel"/>
    <w:tmpl w:val="9850A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B143C2"/>
    <w:multiLevelType w:val="hybridMultilevel"/>
    <w:tmpl w:val="636A5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33"/>
    <w:rsid w:val="00093456"/>
    <w:rsid w:val="000A153A"/>
    <w:rsid w:val="000A283E"/>
    <w:rsid w:val="001501CB"/>
    <w:rsid w:val="001524D1"/>
    <w:rsid w:val="00297082"/>
    <w:rsid w:val="002C5D30"/>
    <w:rsid w:val="002E6F58"/>
    <w:rsid w:val="00306E5B"/>
    <w:rsid w:val="00317D83"/>
    <w:rsid w:val="00321CA4"/>
    <w:rsid w:val="00334BA2"/>
    <w:rsid w:val="00337030"/>
    <w:rsid w:val="0039196C"/>
    <w:rsid w:val="00410206"/>
    <w:rsid w:val="0047536E"/>
    <w:rsid w:val="004906C3"/>
    <w:rsid w:val="004918E2"/>
    <w:rsid w:val="004C5931"/>
    <w:rsid w:val="004E38E3"/>
    <w:rsid w:val="004F795C"/>
    <w:rsid w:val="00506458"/>
    <w:rsid w:val="00535DB2"/>
    <w:rsid w:val="00555E20"/>
    <w:rsid w:val="00571833"/>
    <w:rsid w:val="005739AD"/>
    <w:rsid w:val="005C193E"/>
    <w:rsid w:val="005D5B47"/>
    <w:rsid w:val="005F6B63"/>
    <w:rsid w:val="00642F63"/>
    <w:rsid w:val="00657B03"/>
    <w:rsid w:val="0067310A"/>
    <w:rsid w:val="006C264A"/>
    <w:rsid w:val="006C397D"/>
    <w:rsid w:val="00702153"/>
    <w:rsid w:val="00726B3C"/>
    <w:rsid w:val="00731824"/>
    <w:rsid w:val="0075116C"/>
    <w:rsid w:val="00827C9B"/>
    <w:rsid w:val="0085788A"/>
    <w:rsid w:val="00862F79"/>
    <w:rsid w:val="008A6FCD"/>
    <w:rsid w:val="00926965"/>
    <w:rsid w:val="00927796"/>
    <w:rsid w:val="009539BC"/>
    <w:rsid w:val="00953D2E"/>
    <w:rsid w:val="00965108"/>
    <w:rsid w:val="009F466F"/>
    <w:rsid w:val="009F7E3E"/>
    <w:rsid w:val="00AD4AB1"/>
    <w:rsid w:val="00AD68C8"/>
    <w:rsid w:val="00B10E6F"/>
    <w:rsid w:val="00B70876"/>
    <w:rsid w:val="00C113E7"/>
    <w:rsid w:val="00C53F5A"/>
    <w:rsid w:val="00C84A82"/>
    <w:rsid w:val="00D02ED9"/>
    <w:rsid w:val="00D05915"/>
    <w:rsid w:val="00D5068C"/>
    <w:rsid w:val="00D94AEB"/>
    <w:rsid w:val="00DB10B7"/>
    <w:rsid w:val="00E03DC9"/>
    <w:rsid w:val="00E655A7"/>
    <w:rsid w:val="00E70ABF"/>
    <w:rsid w:val="00E958A4"/>
    <w:rsid w:val="00EA4830"/>
    <w:rsid w:val="00EB0AAC"/>
    <w:rsid w:val="00ED7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7A15A8"/>
  <w15:docId w15:val="{4165D2C3-686C-4469-B067-EA0491C3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paragraph" w:styleId="Intestazione">
    <w:name w:val="header"/>
    <w:basedOn w:val="Normale"/>
    <w:link w:val="IntestazioneCarattere"/>
    <w:unhideWhenUsed/>
    <w:rsid w:val="00535DB2"/>
    <w:pPr>
      <w:tabs>
        <w:tab w:val="center" w:pos="4513"/>
        <w:tab w:val="right" w:pos="9026"/>
      </w:tabs>
    </w:pPr>
  </w:style>
  <w:style w:type="character" w:customStyle="1" w:styleId="IntestazioneCarattere">
    <w:name w:val="Intestazione Carattere"/>
    <w:basedOn w:val="Carpredefinitoparagrafo"/>
    <w:link w:val="Intestazione"/>
    <w:uiPriority w:val="99"/>
    <w:rsid w:val="00535DB2"/>
  </w:style>
  <w:style w:type="paragraph" w:styleId="Pidipagina">
    <w:name w:val="footer"/>
    <w:basedOn w:val="Normale"/>
    <w:link w:val="PidipaginaCarattere"/>
    <w:uiPriority w:val="99"/>
    <w:unhideWhenUsed/>
    <w:rsid w:val="00535DB2"/>
    <w:pPr>
      <w:tabs>
        <w:tab w:val="center" w:pos="4513"/>
        <w:tab w:val="right" w:pos="9026"/>
      </w:tabs>
    </w:pPr>
  </w:style>
  <w:style w:type="character" w:customStyle="1" w:styleId="PidipaginaCarattere">
    <w:name w:val="Piè di pagina Carattere"/>
    <w:basedOn w:val="Carpredefinitoparagrafo"/>
    <w:link w:val="Pidipagina"/>
    <w:uiPriority w:val="99"/>
    <w:rsid w:val="00535DB2"/>
  </w:style>
  <w:style w:type="paragraph" w:styleId="Paragrafoelenco">
    <w:name w:val="List Paragraph"/>
    <w:basedOn w:val="Normale"/>
    <w:uiPriority w:val="34"/>
    <w:qFormat/>
    <w:rsid w:val="00EB0AAC"/>
    <w:pPr>
      <w:ind w:left="720"/>
      <w:contextualSpacing/>
    </w:pPr>
  </w:style>
  <w:style w:type="character" w:styleId="Collegamentoipertestuale">
    <w:name w:val="Hyperlink"/>
    <w:basedOn w:val="Carpredefinitoparagrafo"/>
    <w:uiPriority w:val="99"/>
    <w:unhideWhenUsed/>
    <w:rsid w:val="001501CB"/>
    <w:rPr>
      <w:color w:val="0000FF" w:themeColor="hyperlink"/>
      <w:u w:val="single"/>
    </w:rPr>
  </w:style>
  <w:style w:type="character" w:styleId="Menzionenonrisolta">
    <w:name w:val="Unresolved Mention"/>
    <w:basedOn w:val="Carpredefinitoparagrafo"/>
    <w:uiPriority w:val="99"/>
    <w:semiHidden/>
    <w:unhideWhenUsed/>
    <w:rsid w:val="0015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user/CCIAALu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camcom.it/"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ameraCommercioLuc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info@lu.camcom.it"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774</Words>
  <Characters>4413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Sargenti Francesca</dc:creator>
  <cp:lastModifiedBy>Segreteria Generale</cp:lastModifiedBy>
  <cp:revision>3</cp:revision>
  <dcterms:created xsi:type="dcterms:W3CDTF">2021-07-13T09:22:00Z</dcterms:created>
  <dcterms:modified xsi:type="dcterms:W3CDTF">2021-07-13T09:34:00Z</dcterms:modified>
</cp:coreProperties>
</file>