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4E694562" w14:textId="3B0E5541" w:rsidR="001501CB" w:rsidRDefault="00D94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D94AEB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Domicilio digitale/Pec: obbligo di </w:t>
      </w:r>
      <w:r w:rsidR="00E958A4">
        <w:rPr>
          <w:rFonts w:ascii="Verdana" w:eastAsia="Verdana" w:hAnsi="Verdana" w:cs="Verdana"/>
          <w:b/>
          <w:bCs/>
          <w:color w:val="000000"/>
          <w:sz w:val="22"/>
          <w:szCs w:val="22"/>
        </w:rPr>
        <w:t>regolarizzazione</w:t>
      </w:r>
      <w:r w:rsidRPr="00D94AEB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="001501CB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per le imprese </w:t>
      </w:r>
    </w:p>
    <w:p w14:paraId="37B4F836" w14:textId="53BE810A" w:rsidR="00D94AEB" w:rsidRDefault="00150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D94AEB">
        <w:rPr>
          <w:rFonts w:ascii="Verdana" w:eastAsia="Verdana" w:hAnsi="Verdana" w:cs="Verdana"/>
          <w:b/>
          <w:bCs/>
          <w:color w:val="000000"/>
          <w:sz w:val="22"/>
          <w:szCs w:val="22"/>
        </w:rPr>
        <w:t>entro il 1° ottobre 2020</w:t>
      </w:r>
    </w:p>
    <w:p w14:paraId="506192D8" w14:textId="72C702D6" w:rsidR="00731824" w:rsidRPr="00731824" w:rsidRDefault="00150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Previste sanzioni pecuniare per chi è inadempiente</w:t>
      </w:r>
    </w:p>
    <w:p w14:paraId="7D3079E6" w14:textId="77777777" w:rsidR="004E38E3" w:rsidRDefault="004E38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BEF5BD1" w14:textId="5462CDFF" w:rsidR="001501CB" w:rsidRDefault="00321CA4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D94AEB">
        <w:rPr>
          <w:rFonts w:ascii="Verdana" w:eastAsia="Verdana" w:hAnsi="Verdana" w:cs="Verdana"/>
          <w:i/>
          <w:color w:val="000000"/>
          <w:sz w:val="22"/>
          <w:szCs w:val="22"/>
        </w:rPr>
        <w:t>1</w:t>
      </w:r>
      <w:r w:rsidR="00E03DC9">
        <w:rPr>
          <w:rFonts w:ascii="Verdana" w:eastAsia="Verdana" w:hAnsi="Verdana" w:cs="Verdana"/>
          <w:i/>
          <w:color w:val="000000"/>
          <w:sz w:val="22"/>
          <w:szCs w:val="22"/>
        </w:rPr>
        <w:t>7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settembre 20</w:t>
      </w:r>
      <w:r w:rsidR="005F6B63">
        <w:rPr>
          <w:rFonts w:ascii="Verdana" w:eastAsia="Verdana" w:hAnsi="Verdana" w:cs="Verdana"/>
          <w:i/>
          <w:color w:val="000000"/>
          <w:sz w:val="22"/>
          <w:szCs w:val="22"/>
        </w:rPr>
        <w:t>20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1501CB" w:rsidRPr="001501CB">
        <w:rPr>
          <w:rFonts w:ascii="Verdana" w:eastAsia="Verdana" w:hAnsi="Verdana" w:cs="Verdana"/>
          <w:bCs/>
          <w:color w:val="000000"/>
          <w:sz w:val="22"/>
          <w:szCs w:val="22"/>
        </w:rPr>
        <w:t>Entro il 1° ottobre 2020</w:t>
      </w:r>
      <w:r w:rsidR="001501C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tutte le imprese devono comunicare telematicamente al Registro delle imprese il proprio domicilio digitale (PEC): per gli inadempienti sono previste sanzioni pecuniare.</w:t>
      </w:r>
    </w:p>
    <w:p w14:paraId="78556214" w14:textId="77777777" w:rsid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B655689" w14:textId="4E57C3CD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società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e le 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imprese individuali che non hanno ancora comunicato o aggiornato il proprio "domicilio digitale" (nuova definizione che va a sostituire quella di Pec, cioè l'indirizzo di posta elettronica certificata), dovranno comunicare al Registro delle imprese il domicilio digitale, attivo e univocamente riconducibile all'impresa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 base alle re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centi disposizioni entrate in vigore il 14 settembre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che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prevedono espressamente una sanzione pecuniaria per le imprese che non effettueranno questo adempimento entro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data del 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1° ottobre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2020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69B59711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6714415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La legge ha anche inasprito la sanzione ordinariamente prevista, raddoppiando, per le società, la misura prevista dall'art. 2630 c.c., e triplicando quanto invece previsto per le imprese individuali dall'art. 2194 c.c..</w:t>
      </w:r>
    </w:p>
    <w:p w14:paraId="724DE2D2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103829C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Per le imprese che dopo la scadenza del termine risulteranno prive di domicilio digitale, oltre al pagamento della sanzione amministrativa, è prevista l'assegnazione d'ufficio di un domicilio digitale da parte della Camera di Commercio.</w:t>
      </w:r>
    </w:p>
    <w:p w14:paraId="6EB658EF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647EC6DA" w14:textId="6AB29966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È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importante sapere che la comunicazione del domicilio digitale è esente da imposta di bollo e diritti di segreteria. Può essere effettuata dal titolare o legale rappresentante dell'impresa direttamente dal sito ipec-registroimprese.infocamere.it, oppure seguendo le istruzioni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sul sito della Camera di commercio di Lucca (</w:t>
      </w:r>
      <w:hyperlink r:id="rId7" w:history="1">
        <w:r w:rsidRPr="00BC26EC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www.lu.camcom.it</w:t>
        </w:r>
      </w:hyperlink>
      <w:r>
        <w:rPr>
          <w:rFonts w:ascii="Verdana" w:eastAsia="Verdana" w:hAnsi="Verdana" w:cs="Verdana"/>
          <w:bCs/>
          <w:color w:val="000000"/>
          <w:sz w:val="22"/>
          <w:szCs w:val="22"/>
        </w:rPr>
        <w:t>)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6E9F871D" w14:textId="77777777" w:rsidR="001501CB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F0C0AB8" w14:textId="40C008DD" w:rsidR="009F7E3E" w:rsidRPr="001501CB" w:rsidRDefault="001501CB" w:rsidP="00150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nuove regole in materia di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P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ec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/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1501CB">
        <w:rPr>
          <w:rFonts w:ascii="Verdana" w:eastAsia="Verdana" w:hAnsi="Verdana" w:cs="Verdana"/>
          <w:bCs/>
          <w:color w:val="000000"/>
          <w:sz w:val="22"/>
          <w:szCs w:val="22"/>
        </w:rPr>
        <w:t>domicilio digitale sono state introdotte dal Decreto Legge 16 luglio 2020, n. 76 (il cd. Decreto Semplificazioni), convertito dalla Legge n. 120 dell'11 settembre 2020.</w:t>
      </w:r>
    </w:p>
    <w:p w14:paraId="1CF305F9" w14:textId="3238D77B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9AF6219" w14:textId="68533FCE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E0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8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4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>
      <w:headerReference w:type="default" r:id="rId16"/>
      <w:footerReference w:type="default" r:id="rId17"/>
      <w:pgSz w:w="11906" w:h="16838"/>
      <w:pgMar w:top="2268" w:right="1134" w:bottom="938" w:left="1134" w:header="851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1501CB"/>
    <w:rsid w:val="002E6F58"/>
    <w:rsid w:val="00317D83"/>
    <w:rsid w:val="00321CA4"/>
    <w:rsid w:val="00334BA2"/>
    <w:rsid w:val="0039196C"/>
    <w:rsid w:val="004906C3"/>
    <w:rsid w:val="004C5931"/>
    <w:rsid w:val="004E38E3"/>
    <w:rsid w:val="004F795C"/>
    <w:rsid w:val="00535DB2"/>
    <w:rsid w:val="00571833"/>
    <w:rsid w:val="005F6B63"/>
    <w:rsid w:val="0067310A"/>
    <w:rsid w:val="00702153"/>
    <w:rsid w:val="00731824"/>
    <w:rsid w:val="00827C9B"/>
    <w:rsid w:val="0085788A"/>
    <w:rsid w:val="00862F79"/>
    <w:rsid w:val="008A6FCD"/>
    <w:rsid w:val="00965108"/>
    <w:rsid w:val="009F7E3E"/>
    <w:rsid w:val="00AD4AB1"/>
    <w:rsid w:val="00C53F5A"/>
    <w:rsid w:val="00D05915"/>
    <w:rsid w:val="00D5068C"/>
    <w:rsid w:val="00D94AEB"/>
    <w:rsid w:val="00E03DC9"/>
    <w:rsid w:val="00E958A4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.camcom.it" TargetMode="Externa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info@lu.camcom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user/CCIAALuc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6</cp:revision>
  <dcterms:created xsi:type="dcterms:W3CDTF">2020-09-16T11:37:00Z</dcterms:created>
  <dcterms:modified xsi:type="dcterms:W3CDTF">2020-09-16T16:21:00Z</dcterms:modified>
</cp:coreProperties>
</file>