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448D" w14:textId="77777777" w:rsidR="00A80914" w:rsidRDefault="00A80914">
      <w:pPr>
        <w:pStyle w:val="NormaleWeb"/>
        <w:spacing w:before="0" w:after="0"/>
        <w:jc w:val="both"/>
        <w:rPr>
          <w:rFonts w:ascii="Verdana" w:eastAsia="Verdana" w:hAnsi="Verdana" w:cs="Verdana"/>
          <w:b/>
          <w:bCs/>
          <w:iCs/>
          <w:color w:val="000000"/>
          <w:kern w:val="0"/>
          <w:sz w:val="22"/>
          <w:szCs w:val="22"/>
          <w:lang w:eastAsia="it-IT" w:bidi="ar-SA"/>
        </w:rPr>
      </w:pPr>
    </w:p>
    <w:p w14:paraId="27DD0EC8" w14:textId="4B7DC1CE" w:rsidR="00472D66" w:rsidRDefault="00472D66" w:rsidP="00472D66">
      <w:pPr>
        <w:spacing w:before="240"/>
        <w:ind w:right="-285" w:hanging="284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In crescita l’export della provincia di Lucca: + 17,7 nei primi nove mesi del 2021</w:t>
      </w:r>
    </w:p>
    <w:p w14:paraId="0EF0A104" w14:textId="77777777" w:rsidR="00472D66" w:rsidRDefault="00472D66" w:rsidP="00472D66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472D66">
        <w:rPr>
          <w:rFonts w:ascii="Verdana" w:hAnsi="Verdana" w:cs="Arial"/>
          <w:sz w:val="22"/>
          <w:szCs w:val="22"/>
        </w:rPr>
        <w:t>Analisi realizzata dall’</w:t>
      </w:r>
      <w:r w:rsidRPr="00472D66">
        <w:t xml:space="preserve"> </w:t>
      </w:r>
      <w:r w:rsidRPr="00472D66">
        <w:rPr>
          <w:rFonts w:ascii="Verdana" w:hAnsi="Verdana" w:cs="Arial"/>
          <w:sz w:val="22"/>
          <w:szCs w:val="22"/>
        </w:rPr>
        <w:t xml:space="preserve">dell’Ufficio Studi, Statistica e Politiche economiche </w:t>
      </w:r>
    </w:p>
    <w:p w14:paraId="32D5B0D5" w14:textId="592C2E14" w:rsidR="00472D66" w:rsidRPr="00472D66" w:rsidRDefault="00472D66" w:rsidP="00472D66">
      <w:pPr>
        <w:ind w:right="-285" w:hanging="284"/>
        <w:jc w:val="center"/>
        <w:rPr>
          <w:rFonts w:ascii="Verdana" w:hAnsi="Verdana" w:cs="Arial"/>
          <w:sz w:val="22"/>
          <w:szCs w:val="22"/>
        </w:rPr>
      </w:pPr>
      <w:r w:rsidRPr="00472D66">
        <w:rPr>
          <w:rFonts w:ascii="Verdana" w:hAnsi="Verdana" w:cs="Arial"/>
          <w:sz w:val="22"/>
          <w:szCs w:val="22"/>
        </w:rPr>
        <w:t>della Camera di Commercio di Lucca</w:t>
      </w:r>
    </w:p>
    <w:p w14:paraId="15F792B7" w14:textId="5D0FD67D" w:rsidR="00A80914" w:rsidRPr="00661592" w:rsidRDefault="00A80914" w:rsidP="00661592">
      <w:pPr>
        <w:spacing w:before="240"/>
        <w:rPr>
          <w:rFonts w:ascii="Verdana" w:hAnsi="Verdana" w:cs="Arial"/>
          <w:sz w:val="22"/>
          <w:szCs w:val="22"/>
        </w:rPr>
      </w:pPr>
    </w:p>
    <w:p w14:paraId="6AA5A380" w14:textId="1AC576C5" w:rsidR="00472D66" w:rsidRPr="00472D66" w:rsidRDefault="00CC3158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="Arial"/>
          <w:i/>
          <w:sz w:val="22"/>
          <w:szCs w:val="22"/>
        </w:rPr>
        <w:t xml:space="preserve">Lucca, </w:t>
      </w:r>
      <w:r w:rsidR="00472D66" w:rsidRPr="00472D66">
        <w:rPr>
          <w:rFonts w:ascii="Verdana" w:hAnsi="Verdana" w:cs="Arial"/>
          <w:i/>
          <w:sz w:val="22"/>
          <w:szCs w:val="22"/>
        </w:rPr>
        <w:t>15</w:t>
      </w:r>
      <w:r w:rsidRPr="00472D66">
        <w:rPr>
          <w:rFonts w:ascii="Verdana" w:hAnsi="Verdana" w:cs="Arial"/>
          <w:i/>
          <w:sz w:val="22"/>
          <w:szCs w:val="22"/>
        </w:rPr>
        <w:t xml:space="preserve"> dicembre 2021 –</w:t>
      </w:r>
      <w:r w:rsidR="00472D66">
        <w:rPr>
          <w:rFonts w:ascii="Verdana" w:hAnsi="Verdana" w:cs="Arial"/>
          <w:i/>
          <w:sz w:val="22"/>
          <w:szCs w:val="22"/>
        </w:rPr>
        <w:t xml:space="preserve"> </w:t>
      </w:r>
      <w:r w:rsidR="00472D66" w:rsidRPr="00472D66">
        <w:rPr>
          <w:rFonts w:ascii="Verdana" w:hAnsi="Verdana" w:cs="Arial"/>
          <w:iCs/>
          <w:sz w:val="22"/>
          <w:szCs w:val="22"/>
        </w:rPr>
        <w:t>H</w:t>
      </w:r>
      <w:r w:rsidR="00472D66" w:rsidRPr="00472D66">
        <w:rPr>
          <w:rFonts w:ascii="Verdana" w:hAnsi="Verdana" w:cstheme="majorHAnsi"/>
          <w:sz w:val="22"/>
          <w:szCs w:val="22"/>
        </w:rPr>
        <w:t>anno raggiunto i 3.449 milioni di euro</w:t>
      </w:r>
      <w:r w:rsidR="00472D66">
        <w:rPr>
          <w:rFonts w:ascii="Verdana" w:hAnsi="Verdana" w:cstheme="majorHAnsi"/>
          <w:sz w:val="22"/>
          <w:szCs w:val="22"/>
        </w:rPr>
        <w:t xml:space="preserve"> </w:t>
      </w:r>
      <w:r w:rsidR="00472D66" w:rsidRPr="00472D66">
        <w:rPr>
          <w:rFonts w:ascii="Verdana" w:hAnsi="Verdana" w:cstheme="majorHAnsi"/>
          <w:sz w:val="22"/>
          <w:szCs w:val="22"/>
        </w:rPr>
        <w:t>le vendite all’estero dalla provincia di Lucca</w:t>
      </w:r>
      <w:r w:rsidR="00472D66" w:rsidRPr="00472D66">
        <w:rPr>
          <w:rFonts w:ascii="Verdana" w:hAnsi="Verdana" w:cstheme="majorHAnsi"/>
          <w:sz w:val="22"/>
          <w:szCs w:val="22"/>
        </w:rPr>
        <w:t xml:space="preserve"> </w:t>
      </w:r>
      <w:r w:rsidR="00472D66">
        <w:rPr>
          <w:rFonts w:ascii="Verdana" w:hAnsi="Verdana" w:cstheme="majorHAnsi"/>
          <w:sz w:val="22"/>
          <w:szCs w:val="22"/>
        </w:rPr>
        <w:t>n</w:t>
      </w:r>
      <w:r w:rsidR="00472D66" w:rsidRPr="00472D66">
        <w:rPr>
          <w:rFonts w:ascii="Verdana" w:hAnsi="Verdana" w:cstheme="majorHAnsi"/>
          <w:sz w:val="22"/>
          <w:szCs w:val="22"/>
        </w:rPr>
        <w:t>el periodo gennaio-settembre 2021</w:t>
      </w:r>
      <w:r w:rsidR="00472D66">
        <w:rPr>
          <w:rFonts w:ascii="Verdana" w:hAnsi="Verdana" w:cstheme="majorHAnsi"/>
          <w:sz w:val="22"/>
          <w:szCs w:val="22"/>
        </w:rPr>
        <w:t>:</w:t>
      </w:r>
      <w:r w:rsidR="00472D66" w:rsidRPr="00472D66">
        <w:rPr>
          <w:rFonts w:ascii="Verdana" w:hAnsi="Verdana" w:cstheme="majorHAnsi"/>
          <w:sz w:val="22"/>
          <w:szCs w:val="22"/>
        </w:rPr>
        <w:t xml:space="preserve"> un valore in crescita del +17,7% rispetto allo stesso periodo dell’anno precedente quando lo scoppio dell’emergenza sanitaria aveva rallentato fortemente gli scambi commerciali internazionali soprattutto nel periodo aprile-giugno. </w:t>
      </w:r>
    </w:p>
    <w:p w14:paraId="6F7E475B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In Toscana l’incremento degli scambi ha toccato il +22,4%, con forti rimbalzi per molte province che avevano accusato pesanti perdite nella prima parte del 2020, mentre in Italia ha raggiunto il +20,1%.</w:t>
      </w:r>
    </w:p>
    <w:p w14:paraId="5A845070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Il risultato rilevato nei primi nove mesi del 2021 risulta a ogni modo superiore anche a quanto registrato nel 2019, rispetto al quale le esportazioni della provincia di Lucca risultano più elevate del 10,4%, quelle toscane del 9,8% e quelle nazionali del 5,8%.</w:t>
      </w:r>
    </w:p>
    <w:p w14:paraId="210EC58F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Gli acquisti dall’estero della provincia di Lucca sono cresciuti del +14,0% nel periodo, attestandosi a quasi 1.538 milioni di euro; la dinamica risulta positiva anche a livello toscano (+11,2%) e nazionale (+23,6%).</w:t>
      </w:r>
    </w:p>
    <w:p w14:paraId="4EBDD5DE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Va in ogni caso fatto presente che una parte dell'incremento del valore delle merci acquistate e vendute all’estero nel periodo è sicuramente effetto del rincaro nel periodo dei prezzi di molte materie prime e del suo conseguente trasferimento sulle filiere produttive.</w:t>
      </w:r>
    </w:p>
    <w:p w14:paraId="63C27419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 xml:space="preserve">A livello settoriale la cantieristica nautica ha esportato natanti per 853 milioni di euro nei primi nove mesi dell’anno, un valore in crescita del +45,4% rispetto al 2020. L’industria della carta e cartotecnica ha venduto all’estero merci per 642 milioni di euro, un valore in calo del -5,7% rispetto allo scorso anno; nel dettaglio, le vendite all’estero di </w:t>
      </w:r>
      <w:r w:rsidRPr="00472D66">
        <w:rPr>
          <w:rFonts w:ascii="Verdana" w:hAnsi="Verdana" w:cstheme="majorHAnsi"/>
          <w:i/>
          <w:sz w:val="22"/>
          <w:szCs w:val="22"/>
        </w:rPr>
        <w:t>pasta da carta, carta e cartone</w:t>
      </w:r>
      <w:r w:rsidRPr="00472D66">
        <w:rPr>
          <w:rFonts w:ascii="Verdana" w:hAnsi="Verdana" w:cstheme="majorHAnsi"/>
          <w:sz w:val="22"/>
          <w:szCs w:val="22"/>
        </w:rPr>
        <w:t xml:space="preserve"> sono cresciute del +4,4% mentre quelle di </w:t>
      </w:r>
      <w:r w:rsidRPr="00472D66">
        <w:rPr>
          <w:rFonts w:ascii="Verdana" w:hAnsi="Verdana" w:cstheme="majorHAnsi"/>
          <w:i/>
          <w:sz w:val="22"/>
          <w:szCs w:val="22"/>
        </w:rPr>
        <w:t>articoli di carta e di cartone</w:t>
      </w:r>
      <w:r w:rsidRPr="00472D66">
        <w:rPr>
          <w:rFonts w:ascii="Verdana" w:hAnsi="Verdana" w:cstheme="majorHAnsi"/>
          <w:sz w:val="22"/>
          <w:szCs w:val="22"/>
        </w:rPr>
        <w:t xml:space="preserve"> sono diminuite del -12,3%.</w:t>
      </w:r>
    </w:p>
    <w:p w14:paraId="35ECC3BE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 xml:space="preserve">L’industria meccanica, terzo settore provinciale per export con 628 milioni di euro tra gennaio e settembre, ha messo a segno un +16,3% sul 2020, con le vendite all’estero di </w:t>
      </w:r>
      <w:r w:rsidRPr="00472D66">
        <w:rPr>
          <w:rFonts w:ascii="Verdana" w:hAnsi="Verdana" w:cstheme="majorHAnsi"/>
          <w:i/>
          <w:sz w:val="22"/>
          <w:szCs w:val="22"/>
        </w:rPr>
        <w:t>macchine per impieghi speciali</w:t>
      </w:r>
      <w:r w:rsidRPr="00472D66">
        <w:rPr>
          <w:rFonts w:ascii="Verdana" w:hAnsi="Verdana" w:cstheme="majorHAnsi"/>
          <w:sz w:val="22"/>
          <w:szCs w:val="22"/>
        </w:rPr>
        <w:t xml:space="preserve"> (447 milioni) salite del +16,7% rispetto allo stesso periodo dell’anno precedente.</w:t>
      </w:r>
    </w:p>
    <w:p w14:paraId="571E0FA3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iCs/>
          <w:sz w:val="22"/>
          <w:szCs w:val="22"/>
        </w:rPr>
      </w:pPr>
      <w:r w:rsidRPr="00472D66">
        <w:rPr>
          <w:rFonts w:ascii="Verdana" w:hAnsi="Verdana" w:cstheme="majorHAnsi"/>
          <w:bCs/>
          <w:sz w:val="22"/>
          <w:szCs w:val="22"/>
        </w:rPr>
        <w:t xml:space="preserve">In forte crescita </w:t>
      </w:r>
      <w:r w:rsidRPr="00472D66">
        <w:rPr>
          <w:rFonts w:ascii="Verdana" w:hAnsi="Verdana" w:cstheme="majorHAnsi"/>
          <w:sz w:val="22"/>
          <w:szCs w:val="22"/>
        </w:rPr>
        <w:t xml:space="preserve">le 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vendite </w:t>
      </w:r>
      <w:r w:rsidRPr="00472D66">
        <w:rPr>
          <w:rFonts w:ascii="Verdana" w:hAnsi="Verdana" w:cstheme="majorHAnsi"/>
          <w:sz w:val="22"/>
          <w:szCs w:val="22"/>
        </w:rPr>
        <w:t xml:space="preserve">della fabbricazione di materiale elettrico e meccanica di precisione (291 milioni; +44,2%) e 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dell’industria </w:t>
      </w:r>
      <w:r w:rsidRPr="00472D66">
        <w:rPr>
          <w:rFonts w:ascii="Verdana" w:hAnsi="Verdana" w:cstheme="majorHAnsi"/>
          <w:bCs/>
          <w:sz w:val="22"/>
          <w:szCs w:val="22"/>
        </w:rPr>
        <w:t>metallurgica (266 milioni; +42,7%)</w:t>
      </w:r>
      <w:r w:rsidRPr="00472D66">
        <w:rPr>
          <w:rFonts w:ascii="Verdana" w:hAnsi="Verdana" w:cstheme="majorHAnsi"/>
          <w:sz w:val="22"/>
          <w:szCs w:val="22"/>
        </w:rPr>
        <w:t xml:space="preserve">. </w:t>
      </w:r>
      <w:r w:rsidRPr="00472D66">
        <w:rPr>
          <w:rFonts w:ascii="Verdana" w:hAnsi="Verdana" w:cstheme="majorHAnsi"/>
          <w:bCs/>
          <w:sz w:val="22"/>
          <w:szCs w:val="22"/>
        </w:rPr>
        <w:t>In lieve calo invece l’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alimentare e tabacco (226 milioni) che ha fatto segnare un -0,5% per la flessione nelle vendite di </w:t>
      </w:r>
      <w:r w:rsidRPr="00472D66">
        <w:rPr>
          <w:rFonts w:ascii="Verdana" w:hAnsi="Verdana" w:cstheme="majorHAnsi"/>
          <w:i/>
          <w:iCs/>
          <w:sz w:val="22"/>
          <w:szCs w:val="22"/>
        </w:rPr>
        <w:t>oli di oliva, semi, etc.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 rilevata nel terzo trimestre. </w:t>
      </w:r>
    </w:p>
    <w:p w14:paraId="374AC239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iCs/>
          <w:sz w:val="22"/>
          <w:szCs w:val="22"/>
        </w:rPr>
      </w:pPr>
      <w:r w:rsidRPr="00472D66">
        <w:rPr>
          <w:rFonts w:ascii="Verdana" w:hAnsi="Verdana" w:cstheme="majorHAnsi"/>
          <w:iCs/>
          <w:sz w:val="22"/>
          <w:szCs w:val="22"/>
        </w:rPr>
        <w:t xml:space="preserve">L’industria </w:t>
      </w:r>
      <w:r w:rsidRPr="00472D66">
        <w:rPr>
          <w:rFonts w:ascii="Verdana" w:hAnsi="Verdana" w:cstheme="majorHAnsi"/>
          <w:bCs/>
          <w:sz w:val="22"/>
          <w:szCs w:val="22"/>
        </w:rPr>
        <w:t>lapidea, del vetro e delle pietre estratte (112</w:t>
      </w:r>
      <w:r w:rsidRPr="00472D66">
        <w:rPr>
          <w:rFonts w:ascii="Verdana" w:hAnsi="Verdana" w:cstheme="majorHAnsi"/>
          <w:sz w:val="22"/>
          <w:szCs w:val="22"/>
        </w:rPr>
        <w:t xml:space="preserve"> milioni) ha recuperato il 16,2% rispetto al 2020, mentre </w:t>
      </w:r>
      <w:r w:rsidRPr="00472D66">
        <w:rPr>
          <w:rFonts w:ascii="Verdana" w:hAnsi="Verdana" w:cstheme="majorHAnsi"/>
          <w:iCs/>
          <w:sz w:val="22"/>
          <w:szCs w:val="22"/>
        </w:rPr>
        <w:t>l’industria chimica, delle vernici e farmaceutica (96 milioni) ha fatto segnare un calo del -21,5% determinato dalla flessione delle esportazioni di prodotti farmaceutici (62 milioni; -34,2%).</w:t>
      </w:r>
    </w:p>
    <w:p w14:paraId="4A09CEA9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iCs/>
          <w:sz w:val="22"/>
          <w:szCs w:val="22"/>
        </w:rPr>
      </w:pPr>
      <w:r w:rsidRPr="00472D66">
        <w:rPr>
          <w:rFonts w:ascii="Verdana" w:hAnsi="Verdana" w:cstheme="majorHAnsi"/>
          <w:iCs/>
          <w:sz w:val="22"/>
          <w:szCs w:val="22"/>
        </w:rPr>
        <w:lastRenderedPageBreak/>
        <w:t>Sono cresciute anche</w:t>
      </w:r>
      <w:r w:rsidRPr="00472D66">
        <w:rPr>
          <w:rFonts w:ascii="Verdana" w:hAnsi="Verdana" w:cstheme="majorHAnsi"/>
          <w:sz w:val="22"/>
          <w:szCs w:val="22"/>
        </w:rPr>
        <w:t xml:space="preserve"> le vendite all’estero del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la gomma e plastica (88 milioni; +12,4%), dei </w:t>
      </w:r>
      <w:r w:rsidRPr="00472D66">
        <w:rPr>
          <w:rFonts w:ascii="Verdana" w:hAnsi="Verdana" w:cstheme="majorHAnsi"/>
          <w:sz w:val="22"/>
          <w:szCs w:val="22"/>
        </w:rPr>
        <w:t>prodotti del</w:t>
      </w:r>
      <w:r w:rsidRPr="00472D66">
        <w:rPr>
          <w:rFonts w:ascii="Verdana" w:hAnsi="Verdana" w:cstheme="majorHAnsi"/>
          <w:iCs/>
          <w:sz w:val="22"/>
          <w:szCs w:val="22"/>
        </w:rPr>
        <w:t xml:space="preserve"> cuoio e calzature (87 milioni; +5,7%) e del tessile e abbigliamento (45 milioni; +3,9%).</w:t>
      </w:r>
    </w:p>
    <w:p w14:paraId="754A0DF2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L’aumento dell’export provinciale nel periodo ha interessato particolarmente le vendite verso l’Europa, che hanno superato i due miliardi di euro (2.048 milioni) segnando una crescita del +17,4% rispetto al 2020; le vendite verso l’Area UE27 (post Brexit) sono salite del +14,6%, mentre quelle verso l’area extra-UE27 sono cresciute del +25,7%. L’export verso il continente americano è sceso del -0,8%, trascinato al ribasso dalla flessione registrata dall’America settentrionale (-11,4%) mentre le vendite verso l’America centro-meridionale sono cresciute del +9,9%. In aumento le esportazioni verso Asia (+17,8%) e Oceania, mentre sono diminuite quelle verso l’Africa (-6,8%).</w:t>
      </w:r>
    </w:p>
    <w:p w14:paraId="3505F3FA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</w:p>
    <w:p w14:paraId="406D896C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bCs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 xml:space="preserve">La crescita delle importazioni provinciali (+14,0%) ha interessato particolarmente alcune industrie quali la carta e cartotecnica (417 milioni; +6,0%), l’industria chimica, delle vernici e farmaceutica (258 milioni; +12,4%), l’industria alimentare e del tabacco (183 milioni; +8,8%), la meccanica (151 milioni; +29,2%), la </w:t>
      </w:r>
      <w:r w:rsidRPr="00472D66">
        <w:rPr>
          <w:rFonts w:ascii="Verdana" w:hAnsi="Verdana" w:cstheme="majorHAnsi"/>
          <w:bCs/>
          <w:sz w:val="22"/>
          <w:szCs w:val="22"/>
        </w:rPr>
        <w:t>fabbricazione di materiale elettrico e meccanica di precisione (71 milioni; +25,9%), il cuoio e calzature (40 milioni; +7,7%), la gomma e plastica (</w:t>
      </w:r>
      <w:r w:rsidRPr="00472D66">
        <w:rPr>
          <w:rFonts w:ascii="Verdana" w:hAnsi="Verdana" w:cstheme="majorHAnsi"/>
          <w:sz w:val="22"/>
          <w:szCs w:val="22"/>
        </w:rPr>
        <w:t>+18,2%) e i prodotti agricoli (+26,9%).</w:t>
      </w:r>
    </w:p>
    <w:p w14:paraId="453DD8A3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bCs/>
          <w:sz w:val="22"/>
          <w:szCs w:val="22"/>
        </w:rPr>
        <w:t>È diminuito invece il valore degli acquisti dall’estero del</w:t>
      </w:r>
      <w:r w:rsidRPr="00472D66">
        <w:rPr>
          <w:rFonts w:ascii="Verdana" w:hAnsi="Verdana" w:cstheme="majorHAnsi"/>
          <w:sz w:val="22"/>
          <w:szCs w:val="22"/>
        </w:rPr>
        <w:t>l'</w:t>
      </w:r>
      <w:r w:rsidRPr="00472D66">
        <w:rPr>
          <w:rFonts w:ascii="Verdana" w:hAnsi="Verdana" w:cstheme="majorHAnsi"/>
          <w:bCs/>
          <w:sz w:val="22"/>
          <w:szCs w:val="22"/>
        </w:rPr>
        <w:t xml:space="preserve">industria metallurgica (150 milioni; -1,0%), del tessile e abbigliamento (35 milioni; -9,8%) </w:t>
      </w:r>
      <w:r w:rsidRPr="00472D66">
        <w:rPr>
          <w:rFonts w:ascii="Verdana" w:hAnsi="Verdana" w:cstheme="majorHAnsi"/>
          <w:sz w:val="22"/>
          <w:szCs w:val="22"/>
        </w:rPr>
        <w:t>e dell’industria lapidea (-8,0%).</w:t>
      </w:r>
    </w:p>
    <w:p w14:paraId="70ACCE56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t>Gli acquisti dall’estero sono cresciuti sia dall’Europa (+24,4%), grazie all’aumento dalle aree UE27 (+23,8%) ed extra-UE27 (+32,3%), che dall’Asia (+15,7%), mentre sono diminuiti quelli dal continente americano (-4,0%) e da Africa (-38,5%) e Oceania.</w:t>
      </w:r>
    </w:p>
    <w:p w14:paraId="3074B360" w14:textId="77777777" w:rsidR="00472D66" w:rsidRPr="00472D66" w:rsidRDefault="00472D66" w:rsidP="00472D66">
      <w:pPr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br w:type="page"/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0"/>
        <w:gridCol w:w="1891"/>
        <w:gridCol w:w="1891"/>
        <w:gridCol w:w="1614"/>
      </w:tblGrid>
      <w:tr w:rsidR="00472D66" w:rsidRPr="00472D66" w14:paraId="2B310E49" w14:textId="77777777" w:rsidTr="009524F5">
        <w:trPr>
          <w:trHeight w:val="27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6B7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bookmarkStart w:id="0" w:name="RANGE!A1:D38"/>
            <w:r w:rsidRPr="00472D66">
              <w:rPr>
                <w:rFonts w:ascii="Verdana" w:hAnsi="Verdana" w:cs="Arial"/>
                <w:b/>
                <w:bCs/>
              </w:rPr>
              <w:lastRenderedPageBreak/>
              <w:t xml:space="preserve">Esportazioni della provincia di Lucca per i principali settori e prodotti. </w:t>
            </w:r>
            <w:bookmarkEnd w:id="0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8FFB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5E2E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6CCCAA6D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DEDD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Gennaio-</w:t>
            </w:r>
            <w:proofErr w:type="gramStart"/>
            <w:r w:rsidRPr="00472D66">
              <w:rPr>
                <w:rFonts w:ascii="Verdana" w:hAnsi="Verdana" w:cs="Arial"/>
                <w:b/>
                <w:bCs/>
              </w:rPr>
              <w:t>Settembre</w:t>
            </w:r>
            <w:proofErr w:type="gramEnd"/>
            <w:r w:rsidRPr="00472D66">
              <w:rPr>
                <w:rFonts w:ascii="Verdana" w:hAnsi="Verdana" w:cs="Arial"/>
                <w:b/>
                <w:bCs/>
              </w:rPr>
              <w:t xml:space="preserve"> 2020-2021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7DAF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5B4C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3958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501EA0CB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000D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Valori assoluti in euro e variazioni %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AE4B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363C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751C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13BFBC91" w14:textId="77777777" w:rsidTr="009524F5">
        <w:trPr>
          <w:trHeight w:val="270"/>
        </w:trPr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333399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14:paraId="420B5B9F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EXPORT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9CCFF"/>
            <w:noWrap/>
            <w:vAlign w:val="center"/>
            <w:hideMark/>
          </w:tcPr>
          <w:p w14:paraId="48C6AE5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Valori assoluti in euro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14:paraId="091C0A31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472D66">
              <w:rPr>
                <w:rFonts w:ascii="Verdana" w:hAnsi="Verdana" w:cs="Arial"/>
                <w:b/>
                <w:bCs/>
                <w:lang w:val="en-US"/>
              </w:rPr>
              <w:t>Var. % Gen-Set 2021/Gen-Set 2020</w:t>
            </w:r>
          </w:p>
        </w:tc>
      </w:tr>
      <w:tr w:rsidR="00472D66" w:rsidRPr="00472D66" w14:paraId="67CED4A6" w14:textId="77777777" w:rsidTr="009524F5">
        <w:trPr>
          <w:trHeight w:val="270"/>
        </w:trPr>
        <w:tc>
          <w:tcPr>
            <w:tcW w:w="4900" w:type="dxa"/>
            <w:vMerge/>
            <w:tcBorders>
              <w:top w:val="single" w:sz="4" w:space="0" w:color="auto"/>
              <w:left w:val="single" w:sz="4" w:space="0" w:color="333399"/>
              <w:bottom w:val="single" w:sz="4" w:space="0" w:color="000000"/>
              <w:right w:val="nil"/>
            </w:tcBorders>
            <w:vAlign w:val="center"/>
            <w:hideMark/>
          </w:tcPr>
          <w:p w14:paraId="3DB1B415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65566650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Gen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-Set 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3E9FFF5A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Gen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-Set 2021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13F5F1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72D66" w:rsidRPr="00472D66" w14:paraId="47D18F15" w14:textId="77777777" w:rsidTr="009524F5">
        <w:trPr>
          <w:trHeight w:val="270"/>
        </w:trPr>
        <w:tc>
          <w:tcPr>
            <w:tcW w:w="490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04C0C3B1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Cantieristica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0198A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586.473.259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C4D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853.001.579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0966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45,4%</w:t>
            </w:r>
          </w:p>
        </w:tc>
      </w:tr>
      <w:tr w:rsidR="00472D66" w:rsidRPr="00472D66" w14:paraId="5B57AED0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D6AEA6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Carta e cartotecnica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453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681.164.181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D8E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642.100.447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E20B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-5,7%</w:t>
            </w:r>
          </w:p>
        </w:tc>
      </w:tr>
      <w:tr w:rsidR="00472D66" w:rsidRPr="00472D66" w14:paraId="5E5C8D4B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DDA5447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Pasta da carta, carta e cartone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0052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267.879.760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8F71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279.616.420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FE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4,4%</w:t>
            </w:r>
          </w:p>
        </w:tc>
      </w:tr>
      <w:tr w:rsidR="00472D66" w:rsidRPr="00472D66" w14:paraId="4FACABCE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1FA55C4D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Articoli di carta e di cartone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2B89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413.284.421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185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362.484.027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D15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-12,3%</w:t>
            </w:r>
          </w:p>
        </w:tc>
      </w:tr>
      <w:tr w:rsidR="00472D66" w:rsidRPr="00472D66" w14:paraId="05C8B0EA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2E47DB2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Meccanica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E1393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539.985.666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3A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628.190.792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034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16,3%</w:t>
            </w:r>
          </w:p>
        </w:tc>
      </w:tr>
      <w:tr w:rsidR="00472D66" w:rsidRPr="00472D66" w14:paraId="5A3583E8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7F37B1DC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Macchine per impieghi speciali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2F3F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383.294.495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42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447.442.285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ACB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16,7%</w:t>
            </w:r>
          </w:p>
        </w:tc>
      </w:tr>
      <w:tr w:rsidR="00472D66" w:rsidRPr="00472D66" w14:paraId="0472A4E1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212465A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Fabbric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mat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elettrico 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mecc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di precisione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1DA31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201.806.601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81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291.099.909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8BD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44,2%</w:t>
            </w:r>
          </w:p>
        </w:tc>
      </w:tr>
      <w:tr w:rsidR="00472D66" w:rsidRPr="00472D66" w14:paraId="4E9B6228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vAlign w:val="bottom"/>
            <w:hideMark/>
          </w:tcPr>
          <w:p w14:paraId="3D2C033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Metallurgica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0BC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186.717.875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64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266.498.090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CA6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42,7%</w:t>
            </w:r>
          </w:p>
        </w:tc>
      </w:tr>
      <w:tr w:rsidR="00472D66" w:rsidRPr="00472D66" w14:paraId="3840EFBB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A1178F7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Rame ed altri minerali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6CC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136.736.413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E2D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208.756.626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414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52,7%</w:t>
            </w:r>
          </w:p>
        </w:tc>
      </w:tr>
      <w:tr w:rsidR="00472D66" w:rsidRPr="00472D66" w14:paraId="17129624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2E399ACC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</w:t>
            </w:r>
            <w:proofErr w:type="gramStart"/>
            <w:r w:rsidRPr="00472D66">
              <w:rPr>
                <w:rFonts w:ascii="Verdana" w:hAnsi="Verdana" w:cs="Arial"/>
                <w:b/>
                <w:bCs/>
              </w:rPr>
              <w:t>Alimentari  e</w:t>
            </w:r>
            <w:proofErr w:type="gramEnd"/>
            <w:r w:rsidRPr="00472D66">
              <w:rPr>
                <w:rFonts w:ascii="Verdana" w:hAnsi="Verdana" w:cs="Arial"/>
                <w:b/>
                <w:bCs/>
              </w:rPr>
              <w:t xml:space="preserve"> tabacco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450F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227.526.106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BB53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226.346.947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28A8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-0,5%</w:t>
            </w:r>
          </w:p>
        </w:tc>
      </w:tr>
      <w:tr w:rsidR="00472D66" w:rsidRPr="00472D66" w14:paraId="03C75762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F16A624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di cui   Olio di oliva, di semi,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etc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07C5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171.455.804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A1A0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162.358.362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468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-5,3%</w:t>
            </w:r>
          </w:p>
        </w:tc>
      </w:tr>
      <w:tr w:rsidR="00472D66" w:rsidRPr="00472D66" w14:paraId="08BA4AE7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vAlign w:val="bottom"/>
            <w:hideMark/>
          </w:tcPr>
          <w:p w14:paraId="116FFB02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Lapidea, del Vetro, Pietre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estr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D3C3E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96.564.865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D910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112.242.872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F9A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16,2%</w:t>
            </w:r>
          </w:p>
        </w:tc>
      </w:tr>
      <w:tr w:rsidR="00472D66" w:rsidRPr="00472D66" w14:paraId="399FE78F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DD831E5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di cui  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 Lapidea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EFDF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65.520.119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28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68.105.736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A042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3,9%</w:t>
            </w:r>
          </w:p>
        </w:tc>
      </w:tr>
      <w:tr w:rsidR="00472D66" w:rsidRPr="00472D66" w14:paraId="363DC555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6831BC9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Pietre estratte sabbia argilla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DC8C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20.971.462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930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24.907.901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DB4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18,8%</w:t>
            </w:r>
          </w:p>
        </w:tc>
      </w:tr>
      <w:tr w:rsidR="00472D66" w:rsidRPr="00472D66" w14:paraId="1E7AAF24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7AC815BB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. del vetro,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mat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 costruzione etc.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6AE8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10.073.284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4EB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19.229.235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5145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90,9%</w:t>
            </w:r>
          </w:p>
        </w:tc>
      </w:tr>
      <w:tr w:rsidR="00472D66" w:rsidRPr="00472D66" w14:paraId="6866A144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639DC135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Chimica e delle vernici 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farmac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9F2E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121.991.549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FC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95.794.620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0FF9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-21,5%</w:t>
            </w:r>
          </w:p>
        </w:tc>
      </w:tr>
      <w:tr w:rsidR="00472D66" w:rsidRPr="00472D66" w14:paraId="12B33E69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445976D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Farmaceutici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15C0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93.880.254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48D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61.753.222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E44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-34,2%</w:t>
            </w:r>
          </w:p>
        </w:tc>
      </w:tr>
      <w:tr w:rsidR="00472D66" w:rsidRPr="00472D66" w14:paraId="7528C3A8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016DECEF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Gomma e Plastica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356F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78.065.706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CE6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87.738.564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3C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12,4%</w:t>
            </w:r>
          </w:p>
        </w:tc>
      </w:tr>
      <w:tr w:rsidR="00472D66" w:rsidRPr="00472D66" w14:paraId="1FFEAC50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37E6E91C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Cuoio e Calzature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9B25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82.199.394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F6F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86.922.942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3142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5,7%</w:t>
            </w:r>
          </w:p>
        </w:tc>
      </w:tr>
      <w:tr w:rsidR="00472D66" w:rsidRPr="00472D66" w14:paraId="4CD27669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08252BF1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di cui  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 delle Calzature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37CD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63.324.151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181A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66.888.396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68A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5,6%</w:t>
            </w:r>
          </w:p>
        </w:tc>
      </w:tr>
      <w:tr w:rsidR="00472D66" w:rsidRPr="00472D66" w14:paraId="2746A042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41157183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Tessile e Abbigliamento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0807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42.911.377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035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44.602.134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08D4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3,9%</w:t>
            </w:r>
          </w:p>
        </w:tc>
      </w:tr>
      <w:tr w:rsidR="00472D66" w:rsidRPr="00472D66" w14:paraId="27F43B30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B7EC563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 Filati per cucire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756C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7.540.972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A9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8.572.601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B695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13,7%</w:t>
            </w:r>
          </w:p>
        </w:tc>
      </w:tr>
      <w:tr w:rsidR="00472D66" w:rsidRPr="00472D66" w14:paraId="0365DE8F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5F8F57BC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 Articoli a maglia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5A31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6.303.573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4A0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7.609.539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A982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20,7%</w:t>
            </w:r>
          </w:p>
        </w:tc>
      </w:tr>
      <w:tr w:rsidR="00472D66" w:rsidRPr="00472D66" w14:paraId="24137CB3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7617D103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            Articoli di abbigliamento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A61B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29.066.832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C9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28.419.994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226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-2,2%</w:t>
            </w:r>
          </w:p>
        </w:tc>
      </w:tr>
      <w:tr w:rsidR="00472D66" w:rsidRPr="00472D66" w14:paraId="62980398" w14:textId="77777777" w:rsidTr="009524F5">
        <w:trPr>
          <w:trHeight w:val="24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auto" w:fill="auto"/>
            <w:noWrap/>
            <w:vAlign w:val="bottom"/>
            <w:hideMark/>
          </w:tcPr>
          <w:p w14:paraId="1AA3B559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Altre attività economiche (1)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0D46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84.618.860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285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114.563.284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8E6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35,4%</w:t>
            </w:r>
          </w:p>
        </w:tc>
      </w:tr>
      <w:tr w:rsidR="00472D66" w:rsidRPr="00472D66" w14:paraId="330FB283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nil"/>
            </w:tcBorders>
            <w:shd w:val="clear" w:color="000000" w:fill="CCCCFF"/>
            <w:noWrap/>
            <w:vAlign w:val="bottom"/>
            <w:hideMark/>
          </w:tcPr>
          <w:p w14:paraId="7CCED9EC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PROVINCIA LUCCA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68B2EA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2.930.025.439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8A1A61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3.449.102.180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22E74A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17,7%</w:t>
            </w:r>
          </w:p>
        </w:tc>
      </w:tr>
      <w:tr w:rsidR="00472D66" w:rsidRPr="00472D66" w14:paraId="6D1C32B1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CCCFF"/>
            <w:noWrap/>
            <w:vAlign w:val="bottom"/>
            <w:hideMark/>
          </w:tcPr>
          <w:p w14:paraId="7C402102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TOSCANA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433F31C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28.875.250.423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64FAF3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35.343.807.188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FC38CF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22,4%</w:t>
            </w:r>
          </w:p>
        </w:tc>
      </w:tr>
      <w:tr w:rsidR="00472D66" w:rsidRPr="00472D66" w14:paraId="12CD8295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CCCFF"/>
            <w:noWrap/>
            <w:vAlign w:val="bottom"/>
            <w:hideMark/>
          </w:tcPr>
          <w:p w14:paraId="6DD193CE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ITALIA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333399"/>
              <w:right w:val="nil"/>
            </w:tcBorders>
            <w:shd w:val="clear" w:color="000000" w:fill="CCCCFF"/>
            <w:noWrap/>
            <w:vAlign w:val="bottom"/>
            <w:hideMark/>
          </w:tcPr>
          <w:p w14:paraId="1C20281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313.395.951.380</w:t>
            </w:r>
          </w:p>
        </w:tc>
        <w:tc>
          <w:tcPr>
            <w:tcW w:w="1520" w:type="dxa"/>
            <w:tcBorders>
              <w:top w:val="nil"/>
              <w:left w:val="single" w:sz="4" w:space="0" w:color="333399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ADF31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376.520.198.454</w:t>
            </w:r>
          </w:p>
        </w:tc>
        <w:tc>
          <w:tcPr>
            <w:tcW w:w="1760" w:type="dxa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000000" w:fill="CCCCFF"/>
            <w:noWrap/>
            <w:vAlign w:val="bottom"/>
            <w:hideMark/>
          </w:tcPr>
          <w:p w14:paraId="64545854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20,1%</w:t>
            </w:r>
          </w:p>
        </w:tc>
      </w:tr>
      <w:tr w:rsidR="00472D66" w:rsidRPr="00472D66" w14:paraId="2650710F" w14:textId="77777777" w:rsidTr="009524F5">
        <w:trPr>
          <w:trHeight w:val="270"/>
        </w:trPr>
        <w:tc>
          <w:tcPr>
            <w:tcW w:w="9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4F77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Fonte: Istat - Banca dati COE - Elaborazioni Ufficio Studi, Statistica e Politiche economiche CCIAA di Lucca</w:t>
            </w:r>
          </w:p>
        </w:tc>
      </w:tr>
      <w:tr w:rsidR="00472D66" w:rsidRPr="00472D66" w14:paraId="6FCC7102" w14:textId="77777777" w:rsidTr="009524F5">
        <w:trPr>
          <w:trHeight w:val="270"/>
        </w:trPr>
        <w:tc>
          <w:tcPr>
            <w:tcW w:w="97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E046B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  <w:r w:rsidRPr="00472D66">
              <w:rPr>
                <w:rFonts w:ascii="Verdana" w:hAnsi="Verdana" w:cs="Arial"/>
              </w:rPr>
              <w:t xml:space="preserve">(1) Rientrano in questo raggruppamento: agricoltura e pesca, minerali energetici e </w:t>
            </w:r>
            <w:proofErr w:type="gramStart"/>
            <w:r w:rsidRPr="00472D66">
              <w:rPr>
                <w:rFonts w:ascii="Verdana" w:hAnsi="Verdana" w:cs="Arial"/>
              </w:rPr>
              <w:t>non</w:t>
            </w:r>
            <w:proofErr w:type="gramEnd"/>
            <w:r w:rsidRPr="00472D66">
              <w:rPr>
                <w:rFonts w:ascii="Verdana" w:hAnsi="Verdana" w:cs="Arial"/>
              </w:rPr>
              <w:t xml:space="preserve">, </w:t>
            </w:r>
            <w:proofErr w:type="spellStart"/>
            <w:r w:rsidRPr="00472D66">
              <w:rPr>
                <w:rFonts w:ascii="Verdana" w:hAnsi="Verdana" w:cs="Arial"/>
              </w:rPr>
              <w:t>ind</w:t>
            </w:r>
            <w:proofErr w:type="spellEnd"/>
            <w:r w:rsidRPr="00472D66">
              <w:rPr>
                <w:rFonts w:ascii="Verdana" w:hAnsi="Verdana" w:cs="Arial"/>
              </w:rPr>
              <w:t xml:space="preserve">. del legno e mobilio, prodotti dell'editoria e della stampa, altri mezzi trasporto, altre </w:t>
            </w:r>
            <w:proofErr w:type="spellStart"/>
            <w:r w:rsidRPr="00472D66">
              <w:rPr>
                <w:rFonts w:ascii="Verdana" w:hAnsi="Verdana" w:cs="Arial"/>
              </w:rPr>
              <w:t>ind</w:t>
            </w:r>
            <w:proofErr w:type="spellEnd"/>
            <w:r w:rsidRPr="00472D66">
              <w:rPr>
                <w:rFonts w:ascii="Verdana" w:hAnsi="Verdana" w:cs="Arial"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</w:rPr>
              <w:t>manifatt</w:t>
            </w:r>
            <w:proofErr w:type="spellEnd"/>
            <w:r w:rsidRPr="00472D66">
              <w:rPr>
                <w:rFonts w:ascii="Verdana" w:hAnsi="Verdana" w:cs="Arial"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</w:rPr>
              <w:t>n.c.a</w:t>
            </w:r>
            <w:proofErr w:type="spellEnd"/>
            <w:r w:rsidRPr="00472D66">
              <w:rPr>
                <w:rFonts w:ascii="Verdana" w:hAnsi="Verdana" w:cs="Arial"/>
              </w:rPr>
              <w:t>., attività professionali e sociali.</w:t>
            </w:r>
          </w:p>
        </w:tc>
      </w:tr>
      <w:tr w:rsidR="00472D66" w:rsidRPr="00472D66" w14:paraId="6BA3EF35" w14:textId="77777777" w:rsidTr="009524F5">
        <w:trPr>
          <w:trHeight w:val="270"/>
        </w:trPr>
        <w:tc>
          <w:tcPr>
            <w:tcW w:w="97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488C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451BEFF7" w14:textId="77777777" w:rsidTr="009524F5">
        <w:trPr>
          <w:trHeight w:val="27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C7FB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Dati 2020 definitivi e 2021 provvisori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0A83F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5E56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0732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</w:tbl>
    <w:p w14:paraId="5BD1B8A9" w14:textId="77777777" w:rsidR="00472D66" w:rsidRPr="00472D66" w:rsidRDefault="00472D66" w:rsidP="00472D66">
      <w:pPr>
        <w:spacing w:line="276" w:lineRule="auto"/>
        <w:jc w:val="both"/>
        <w:rPr>
          <w:rFonts w:ascii="Verdana" w:hAnsi="Verdana" w:cstheme="majorHAnsi"/>
          <w:sz w:val="22"/>
          <w:szCs w:val="22"/>
        </w:rPr>
      </w:pPr>
    </w:p>
    <w:p w14:paraId="17A614BF" w14:textId="77777777" w:rsidR="00472D66" w:rsidRPr="00472D66" w:rsidRDefault="00472D66" w:rsidP="00472D66">
      <w:pPr>
        <w:rPr>
          <w:rFonts w:ascii="Verdana" w:hAnsi="Verdana" w:cstheme="majorHAnsi"/>
          <w:sz w:val="22"/>
          <w:szCs w:val="22"/>
        </w:rPr>
      </w:pPr>
      <w:r w:rsidRPr="00472D66">
        <w:rPr>
          <w:rFonts w:ascii="Verdana" w:hAnsi="Verdana" w:cstheme="majorHAnsi"/>
          <w:sz w:val="22"/>
          <w:szCs w:val="22"/>
        </w:rPr>
        <w:br w:type="page"/>
      </w:r>
    </w:p>
    <w:tbl>
      <w:tblPr>
        <w:tblW w:w="9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1962"/>
        <w:gridCol w:w="1962"/>
        <w:gridCol w:w="1674"/>
      </w:tblGrid>
      <w:tr w:rsidR="00472D66" w:rsidRPr="00472D66" w14:paraId="37BF945A" w14:textId="77777777" w:rsidTr="009524F5">
        <w:trPr>
          <w:trHeight w:val="27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A5B2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  <w:bookmarkStart w:id="1" w:name="RANGE!A1:D35"/>
            <w:r w:rsidRPr="00472D66">
              <w:rPr>
                <w:rFonts w:ascii="Verdana" w:hAnsi="Verdana" w:cs="Arial"/>
                <w:b/>
                <w:bCs/>
              </w:rPr>
              <w:lastRenderedPageBreak/>
              <w:t xml:space="preserve">Importazioni della provincia di Lucca per i principali settori e prodotti. </w:t>
            </w:r>
            <w:bookmarkEnd w:id="1"/>
          </w:p>
        </w:tc>
      </w:tr>
      <w:tr w:rsidR="00472D66" w:rsidRPr="00472D66" w14:paraId="71DBD247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0FBF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Gennaio-</w:t>
            </w:r>
            <w:proofErr w:type="gramStart"/>
            <w:r w:rsidRPr="00472D66">
              <w:rPr>
                <w:rFonts w:ascii="Verdana" w:hAnsi="Verdana" w:cs="Arial"/>
                <w:b/>
                <w:bCs/>
              </w:rPr>
              <w:t>Settembre</w:t>
            </w:r>
            <w:proofErr w:type="gramEnd"/>
            <w:r w:rsidRPr="00472D66">
              <w:rPr>
                <w:rFonts w:ascii="Verdana" w:hAnsi="Verdana" w:cs="Arial"/>
                <w:b/>
                <w:bCs/>
              </w:rPr>
              <w:t xml:space="preserve"> 2020-2021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E10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F730" w14:textId="77777777" w:rsidR="00472D66" w:rsidRPr="00472D66" w:rsidRDefault="00472D66" w:rsidP="009524F5">
            <w:pPr>
              <w:rPr>
                <w:rFonts w:ascii="Verdana" w:hAnsi="Verdana" w:cs="Arial"/>
                <w:color w:val="FF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AB26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16CCAD79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E934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Valori assoluti in euro e variazioni %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29A9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13F5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6767F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  <w:tr w:rsidR="00472D66" w:rsidRPr="00472D66" w14:paraId="25CAD3A9" w14:textId="77777777" w:rsidTr="009524F5">
        <w:trPr>
          <w:trHeight w:val="27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333399"/>
              <w:bottom w:val="single" w:sz="4" w:space="0" w:color="000000"/>
              <w:right w:val="nil"/>
            </w:tcBorders>
            <w:shd w:val="clear" w:color="000000" w:fill="99CCFF"/>
            <w:vAlign w:val="center"/>
            <w:hideMark/>
          </w:tcPr>
          <w:p w14:paraId="4527AB7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IMPORT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14:paraId="1DE8AF2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Valori assoluti in euro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294E96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 w:rsidRPr="00472D66">
              <w:rPr>
                <w:rFonts w:ascii="Verdana" w:hAnsi="Verdana" w:cs="Arial"/>
                <w:b/>
                <w:bCs/>
                <w:lang w:val="en-US"/>
              </w:rPr>
              <w:t>Var. % Gen-Set 2021/Gen-Set 2020</w:t>
            </w:r>
          </w:p>
        </w:tc>
      </w:tr>
      <w:tr w:rsidR="00472D66" w:rsidRPr="00472D66" w14:paraId="110DB055" w14:textId="77777777" w:rsidTr="009524F5">
        <w:trPr>
          <w:trHeight w:val="27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333399"/>
              <w:bottom w:val="single" w:sz="4" w:space="0" w:color="000000"/>
              <w:right w:val="nil"/>
            </w:tcBorders>
            <w:vAlign w:val="center"/>
            <w:hideMark/>
          </w:tcPr>
          <w:p w14:paraId="7126B98F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75A99882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Gen-Sett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 2020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064CB348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Gen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-Set 2021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694F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72D66" w:rsidRPr="00472D66" w14:paraId="438F3DBD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763C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Carta e cartotecnica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EAEF9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393.066.857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B6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416.682.178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B096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6,0%</w:t>
            </w:r>
          </w:p>
        </w:tc>
      </w:tr>
      <w:tr w:rsidR="00472D66" w:rsidRPr="00472D66" w14:paraId="42CBA3EE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DEE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Pasta da carta, carta e cartone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8E3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376.338.771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76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402.840.519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29F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7,0%</w:t>
            </w:r>
          </w:p>
        </w:tc>
      </w:tr>
      <w:tr w:rsidR="00472D66" w:rsidRPr="00472D66" w14:paraId="6C14684F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6F5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Articoli di carta e di cartone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E3922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16.728.086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77A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13.841.659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E059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-17,3%</w:t>
            </w:r>
          </w:p>
        </w:tc>
      </w:tr>
      <w:tr w:rsidR="00472D66" w:rsidRPr="00472D66" w14:paraId="424353EB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7E75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Chimica e delle vernici 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farmac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2DB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229.933.511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05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258.422.616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FA18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12,4%</w:t>
            </w:r>
          </w:p>
        </w:tc>
      </w:tr>
      <w:tr w:rsidR="00472D66" w:rsidRPr="00472D66" w14:paraId="7E110535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391C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Farmaceutici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BFB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128.030.305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83F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122.063.707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4716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-4,7%</w:t>
            </w:r>
          </w:p>
        </w:tc>
      </w:tr>
      <w:tr w:rsidR="00472D66" w:rsidRPr="00472D66" w14:paraId="2B33770C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9DF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Alimentari e tabacco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678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168.191.497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4EB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183.030.671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79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8,8%</w:t>
            </w:r>
          </w:p>
        </w:tc>
      </w:tr>
      <w:tr w:rsidR="00472D66" w:rsidRPr="00472D66" w14:paraId="7846B547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C5FF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 di cui   Olio di oliva, di semi,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etc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AC22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124.326.189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EAF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145.248.477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9FDC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16,8%</w:t>
            </w:r>
          </w:p>
        </w:tc>
      </w:tr>
      <w:tr w:rsidR="00472D66" w:rsidRPr="00472D66" w14:paraId="68DA4EED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5662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Meccanica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FD58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116.811.794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F7369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150.913.430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550B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29,2%</w:t>
            </w:r>
          </w:p>
        </w:tc>
      </w:tr>
      <w:tr w:rsidR="00472D66" w:rsidRPr="00472D66" w14:paraId="5EA04C7B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253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Macchine per impieghi speciali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5B70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46.696.099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F5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54.925.224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63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17,6%</w:t>
            </w:r>
          </w:p>
        </w:tc>
      </w:tr>
      <w:tr w:rsidR="00472D66" w:rsidRPr="00472D66" w14:paraId="0EE3C363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84E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Metallurgica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C983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151.353.380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1B3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149.764.645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7D4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-1,0%</w:t>
            </w:r>
          </w:p>
        </w:tc>
      </w:tr>
      <w:tr w:rsidR="00472D66" w:rsidRPr="00472D66" w14:paraId="59DD4604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5640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di cui   Rame ed altri minerali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B8C950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122.712.761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E9C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118.450.397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C6AB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-3,5%</w:t>
            </w:r>
          </w:p>
        </w:tc>
      </w:tr>
      <w:tr w:rsidR="00472D66" w:rsidRPr="00472D66" w14:paraId="29ED7748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4A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Fabbric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mat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elettrico 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mecc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di precisione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C6A8E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56.516.796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0878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71.132.498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0E61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25,9%</w:t>
            </w:r>
          </w:p>
        </w:tc>
      </w:tr>
      <w:tr w:rsidR="00472D66" w:rsidRPr="00472D66" w14:paraId="292176C4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C90B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Cuoio e Calzature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E7433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37.422.069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B421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40.309.369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32B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7,7%</w:t>
            </w:r>
          </w:p>
        </w:tc>
      </w:tr>
      <w:tr w:rsidR="00472D66" w:rsidRPr="00472D66" w14:paraId="7C0797E4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177F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di cui  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 delle Calzature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011E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26.819.634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3EDA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28.127.664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2808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4,9%</w:t>
            </w:r>
          </w:p>
        </w:tc>
      </w:tr>
      <w:tr w:rsidR="00472D66" w:rsidRPr="00472D66" w14:paraId="3B35E7E6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FA0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Industria Tessile e Abbigliamento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7B940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38.890.612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3D9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35.069.995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ED21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-9,8%</w:t>
            </w:r>
          </w:p>
        </w:tc>
      </w:tr>
      <w:tr w:rsidR="00472D66" w:rsidRPr="00472D66" w14:paraId="36C5346F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4563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Gomma e Plastica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8B0D9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26.133.196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C0E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30.898.765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9E8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18,2%</w:t>
            </w:r>
          </w:p>
        </w:tc>
      </w:tr>
      <w:tr w:rsidR="00472D66" w:rsidRPr="00472D66" w14:paraId="7F0CA30A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6748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Prodotti agricoli, caccia e pesca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10A5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22.360.340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5B77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28.384.778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AFA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26,9%</w:t>
            </w:r>
          </w:p>
        </w:tc>
      </w:tr>
      <w:tr w:rsidR="00472D66" w:rsidRPr="00472D66" w14:paraId="22E8194A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A827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 xml:space="preserve">. Lapidea, del Vetro, Pietre </w:t>
            </w:r>
            <w:proofErr w:type="spellStart"/>
            <w:r w:rsidRPr="00472D66">
              <w:rPr>
                <w:rFonts w:ascii="Verdana" w:hAnsi="Verdana" w:cs="Arial"/>
                <w:b/>
                <w:bCs/>
              </w:rPr>
              <w:t>Estr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A9AD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18.963.860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E633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17.450.079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FE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-8,0%</w:t>
            </w:r>
          </w:p>
        </w:tc>
      </w:tr>
      <w:tr w:rsidR="00472D66" w:rsidRPr="00472D66" w14:paraId="0BC803CA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FED4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di cui  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. Lapidea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2E7C6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2.439.066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922F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1.845.647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0D8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-24,3%</w:t>
            </w:r>
          </w:p>
        </w:tc>
      </w:tr>
      <w:tr w:rsidR="00472D66" w:rsidRPr="00472D66" w14:paraId="50006AA4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11F6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Pietre estratte sabbia e argilla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B8FA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6.582.870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18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4.726.706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3094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-28,2%</w:t>
            </w:r>
          </w:p>
        </w:tc>
      </w:tr>
      <w:tr w:rsidR="00472D66" w:rsidRPr="00472D66" w14:paraId="7EDF4CAF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FD5B" w14:textId="77777777" w:rsidR="00472D66" w:rsidRPr="00472D66" w:rsidRDefault="00472D66" w:rsidP="009524F5">
            <w:pPr>
              <w:ind w:firstLineChars="300" w:firstLine="600"/>
              <w:rPr>
                <w:rFonts w:ascii="Verdana" w:hAnsi="Verdana" w:cs="Arial"/>
                <w:i/>
                <w:iCs/>
              </w:rPr>
            </w:pP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 del vetro, materiale costruzione etc.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F557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9.941.924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768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10.877.726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C667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9,4%</w:t>
            </w:r>
          </w:p>
        </w:tc>
      </w:tr>
      <w:tr w:rsidR="00472D66" w:rsidRPr="00472D66" w14:paraId="7B9E7BFE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BBC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proofErr w:type="spellStart"/>
            <w:r w:rsidRPr="00472D66">
              <w:rPr>
                <w:rFonts w:ascii="Verdana" w:hAnsi="Verdana" w:cs="Arial"/>
                <w:b/>
                <w:bCs/>
              </w:rPr>
              <w:t>Ind</w:t>
            </w:r>
            <w:proofErr w:type="spellEnd"/>
            <w:r w:rsidRPr="00472D66">
              <w:rPr>
                <w:rFonts w:ascii="Verdana" w:hAnsi="Verdana" w:cs="Arial"/>
                <w:b/>
                <w:bCs/>
              </w:rPr>
              <w:t>. Cantieristica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DD65E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7.195.289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C3A4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21.678.602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4F36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201,3%</w:t>
            </w:r>
          </w:p>
        </w:tc>
      </w:tr>
      <w:tr w:rsidR="00472D66" w:rsidRPr="00472D66" w14:paraId="1B69A040" w14:textId="77777777" w:rsidTr="009524F5">
        <w:trPr>
          <w:trHeight w:val="2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B404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Altre attività economiche (1)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1B0ED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82.610.810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C22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134.657.073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2DBF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63,0%</w:t>
            </w:r>
          </w:p>
        </w:tc>
      </w:tr>
      <w:tr w:rsidR="00472D66" w:rsidRPr="00472D66" w14:paraId="6FB1DA1A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58301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PROVINCIA LUCCA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25EF895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1.349.450.011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4AF7C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1.538.394.699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7D22E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14,0%</w:t>
            </w:r>
          </w:p>
        </w:tc>
      </w:tr>
      <w:tr w:rsidR="00472D66" w:rsidRPr="00472D66" w14:paraId="39D74BEF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0908E4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TOSCANA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16A6C69B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19.998.864.771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1DEF7E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22.236.883.574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797DAD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11,2%</w:t>
            </w:r>
          </w:p>
        </w:tc>
      </w:tr>
      <w:tr w:rsidR="00472D66" w:rsidRPr="00472D66" w14:paraId="28D0E2AC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88F3DB" w14:textId="77777777" w:rsidR="00472D66" w:rsidRPr="00472D66" w:rsidRDefault="00472D66" w:rsidP="009524F5">
            <w:pPr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TOTALE ITALIA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14:paraId="07FFDED8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271.347.070.733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14C67A" w14:textId="77777777" w:rsidR="00472D66" w:rsidRPr="00472D66" w:rsidRDefault="00472D66" w:rsidP="009524F5">
            <w:pPr>
              <w:jc w:val="right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335.277.882.126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0F377E" w14:textId="77777777" w:rsidR="00472D66" w:rsidRPr="00472D66" w:rsidRDefault="00472D66" w:rsidP="009524F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472D66">
              <w:rPr>
                <w:rFonts w:ascii="Verdana" w:hAnsi="Verdana" w:cs="Arial"/>
                <w:b/>
                <w:bCs/>
              </w:rPr>
              <w:t>23,6%</w:t>
            </w:r>
          </w:p>
        </w:tc>
      </w:tr>
      <w:tr w:rsidR="00472D66" w:rsidRPr="00472D66" w14:paraId="1266EEBA" w14:textId="77777777" w:rsidTr="009524F5">
        <w:trPr>
          <w:trHeight w:val="270"/>
        </w:trPr>
        <w:tc>
          <w:tcPr>
            <w:tcW w:w="9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AABC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Fonte: Istat - Banca dati COE - Elaborazioni Ufficio Studi, Statistica e Politiche economiche CCIAA di Lucca</w:t>
            </w:r>
          </w:p>
        </w:tc>
      </w:tr>
      <w:tr w:rsidR="00472D66" w:rsidRPr="00472D66" w14:paraId="03134CCB" w14:textId="77777777" w:rsidTr="009524F5">
        <w:trPr>
          <w:trHeight w:val="270"/>
        </w:trPr>
        <w:tc>
          <w:tcPr>
            <w:tcW w:w="9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115F0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 xml:space="preserve">(1) Rientrano in questo raggruppamento: minerali energetici e </w:t>
            </w:r>
            <w:proofErr w:type="gramStart"/>
            <w:r w:rsidRPr="00472D66">
              <w:rPr>
                <w:rFonts w:ascii="Verdana" w:hAnsi="Verdana" w:cs="Arial"/>
                <w:i/>
                <w:iCs/>
              </w:rPr>
              <w:t>non</w:t>
            </w:r>
            <w:proofErr w:type="gramEnd"/>
            <w:r w:rsidRPr="00472D66">
              <w:rPr>
                <w:rFonts w:ascii="Verdana" w:hAnsi="Verdana" w:cs="Arial"/>
                <w:i/>
                <w:iCs/>
              </w:rPr>
              <w:t xml:space="preserve">,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. del legno e mobilio, prodotti dell'editoria e della stampa, altri mezzi trasporto, altre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ind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manifatt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 xml:space="preserve">. </w:t>
            </w:r>
            <w:proofErr w:type="spellStart"/>
            <w:r w:rsidRPr="00472D66">
              <w:rPr>
                <w:rFonts w:ascii="Verdana" w:hAnsi="Verdana" w:cs="Arial"/>
                <w:i/>
                <w:iCs/>
              </w:rPr>
              <w:t>n.c.a</w:t>
            </w:r>
            <w:proofErr w:type="spellEnd"/>
            <w:r w:rsidRPr="00472D66">
              <w:rPr>
                <w:rFonts w:ascii="Verdana" w:hAnsi="Verdana" w:cs="Arial"/>
                <w:i/>
                <w:iCs/>
              </w:rPr>
              <w:t>., attività professionali e sociali.</w:t>
            </w:r>
          </w:p>
        </w:tc>
      </w:tr>
      <w:tr w:rsidR="00472D66" w:rsidRPr="00472D66" w14:paraId="3ACDABB7" w14:textId="77777777" w:rsidTr="009524F5">
        <w:trPr>
          <w:trHeight w:val="270"/>
        </w:trPr>
        <w:tc>
          <w:tcPr>
            <w:tcW w:w="95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5A87E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</w:p>
        </w:tc>
      </w:tr>
      <w:tr w:rsidR="00472D66" w:rsidRPr="00472D66" w14:paraId="64F2AA5E" w14:textId="77777777" w:rsidTr="009524F5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FF6" w14:textId="77777777" w:rsidR="00472D66" w:rsidRPr="00472D66" w:rsidRDefault="00472D66" w:rsidP="009524F5">
            <w:pPr>
              <w:rPr>
                <w:rFonts w:ascii="Verdana" w:hAnsi="Verdana" w:cs="Arial"/>
                <w:i/>
                <w:iCs/>
              </w:rPr>
            </w:pPr>
            <w:r w:rsidRPr="00472D66">
              <w:rPr>
                <w:rFonts w:ascii="Verdana" w:hAnsi="Verdana" w:cs="Arial"/>
                <w:i/>
                <w:iCs/>
              </w:rPr>
              <w:t>Dati 2020 definitivi e 2021 provvisori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153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C17D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DC49" w14:textId="77777777" w:rsidR="00472D66" w:rsidRPr="00472D66" w:rsidRDefault="00472D66" w:rsidP="009524F5">
            <w:pPr>
              <w:rPr>
                <w:rFonts w:ascii="Verdana" w:hAnsi="Verdana" w:cs="Arial"/>
              </w:rPr>
            </w:pPr>
          </w:p>
        </w:tc>
      </w:tr>
    </w:tbl>
    <w:p w14:paraId="5DEC2D8B" w14:textId="489C0922" w:rsidR="00472D66" w:rsidRDefault="00472D66">
      <w:pPr>
        <w:jc w:val="both"/>
      </w:pPr>
    </w:p>
    <w:p w14:paraId="25173CD0" w14:textId="0784BAC7" w:rsidR="00472D66" w:rsidRDefault="00472D66">
      <w:pPr>
        <w:jc w:val="both"/>
      </w:pPr>
    </w:p>
    <w:p w14:paraId="09FE1526" w14:textId="737E16C3" w:rsidR="00472D66" w:rsidRDefault="00472D66">
      <w:pPr>
        <w:jc w:val="both"/>
      </w:pPr>
    </w:p>
    <w:p w14:paraId="473C2D60" w14:textId="77777777" w:rsidR="00472D66" w:rsidRDefault="00472D66">
      <w:pPr>
        <w:jc w:val="both"/>
      </w:pPr>
    </w:p>
    <w:tbl>
      <w:tblPr>
        <w:tblW w:w="9580" w:type="dxa"/>
        <w:tblLook w:val="04A0" w:firstRow="1" w:lastRow="0" w:firstColumn="1" w:lastColumn="0" w:noHBand="0" w:noVBand="1"/>
      </w:tblPr>
      <w:tblGrid>
        <w:gridCol w:w="6013"/>
        <w:gridCol w:w="3567"/>
      </w:tblGrid>
      <w:tr w:rsidR="00A80914" w14:paraId="75F33298" w14:textId="77777777">
        <w:trPr>
          <w:trHeight w:val="680"/>
        </w:trPr>
        <w:tc>
          <w:tcPr>
            <w:tcW w:w="6012" w:type="dxa"/>
            <w:shd w:val="clear" w:color="auto" w:fill="FFFFFF"/>
          </w:tcPr>
          <w:p w14:paraId="71379368" w14:textId="77777777" w:rsidR="00A80914" w:rsidRDefault="00CC3158">
            <w:pP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Ufficio Stampa – Relazioni Esterne</w:t>
            </w:r>
          </w:p>
          <w:p w14:paraId="7C1EEFCB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Francesca Sargenti</w:t>
            </w:r>
          </w:p>
          <w:p w14:paraId="49E2380E" w14:textId="77777777" w:rsidR="00A80914" w:rsidRDefault="00CC3158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Tel. +39 0583 976.686 -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cell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+39</w:t>
            </w:r>
            <w: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329 3606494 </w:t>
            </w:r>
          </w:p>
        </w:tc>
        <w:tc>
          <w:tcPr>
            <w:tcW w:w="3567" w:type="dxa"/>
            <w:shd w:val="clear" w:color="auto" w:fill="FFFFFF"/>
          </w:tcPr>
          <w:p w14:paraId="068D4DED" w14:textId="77777777" w:rsidR="00A80914" w:rsidRDefault="00472D66">
            <w:pPr>
              <w:jc w:val="right"/>
            </w:pPr>
            <w:hyperlink r:id="rId6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3ABC626A" wp14:editId="68185BD1">
                    <wp:extent cx="219075" cy="219075"/>
                    <wp:effectExtent l="0" t="0" r="0" b="0"/>
                    <wp:docPr id="1" name="Pictu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9075" cy="2190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8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09873C91" wp14:editId="242B3FC6">
                    <wp:extent cx="225425" cy="225425"/>
                    <wp:effectExtent l="0" t="0" r="0" b="0"/>
                    <wp:docPr id="2" name="Immagin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5425" cy="2254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  <w:r w:rsidR="00CC3158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hyperlink r:id="rId10">
              <w:r w:rsidR="00CC3158">
                <w:rPr>
                  <w:rStyle w:val="CollegamentoInternet"/>
                  <w:noProof/>
                </w:rPr>
                <w:drawing>
                  <wp:inline distT="0" distB="0" distL="0" distR="0" wp14:anchorId="2A3A5224" wp14:editId="1A6E064C">
                    <wp:extent cx="229235" cy="228600"/>
                    <wp:effectExtent l="0" t="0" r="0" b="0"/>
                    <wp:docPr id="3" name="Immagine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magine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235" cy="2286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0DE8E596" w14:textId="77777777" w:rsidR="00A80914" w:rsidRDefault="00A80914" w:rsidP="00661592"/>
    <w:sectPr w:rsidR="00A80914" w:rsidSect="00472D66">
      <w:headerReference w:type="default" r:id="rId12"/>
      <w:footerReference w:type="default" r:id="rId13"/>
      <w:pgSz w:w="11906" w:h="16838"/>
      <w:pgMar w:top="1985" w:right="1134" w:bottom="1135" w:left="851" w:header="426" w:footer="7" w:gutter="0"/>
      <w:pgNumType w:start="1"/>
      <w:cols w:space="720"/>
      <w:formProt w:val="0"/>
      <w:docGrid w:linePitch="28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817" w14:textId="77777777" w:rsidR="00CC3158" w:rsidRDefault="00CC3158">
      <w:r>
        <w:separator/>
      </w:r>
    </w:p>
  </w:endnote>
  <w:endnote w:type="continuationSeparator" w:id="0">
    <w:p w14:paraId="20F0671C" w14:textId="77777777" w:rsidR="00CC3158" w:rsidRDefault="00CC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1C09" w14:textId="77777777" w:rsidR="00A80914" w:rsidRDefault="00A80914">
    <w:pPr>
      <w:jc w:val="both"/>
      <w:rPr>
        <w:rFonts w:ascii="Arial Narrow" w:eastAsia="Arial Narrow" w:hAnsi="Arial Narrow" w:cs="Arial Narrow"/>
        <w:color w:val="000000"/>
        <w:sz w:val="16"/>
        <w:szCs w:val="16"/>
      </w:rPr>
    </w:pPr>
  </w:p>
  <w:p w14:paraId="0A105093" w14:textId="77777777" w:rsidR="00A80914" w:rsidRDefault="00CC3158">
    <w:pPr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b/>
        <w:color w:val="A09289"/>
        <w:sz w:val="16"/>
        <w:szCs w:val="16"/>
      </w:rPr>
      <w:t xml:space="preserve">Camera di Commercio Industria Artigianato Agricoltura di Lucca - </w:t>
    </w:r>
    <w:r>
      <w:rPr>
        <w:rFonts w:ascii="Arial Narrow" w:eastAsia="Arial Narrow" w:hAnsi="Arial Narrow" w:cs="Arial Narrow"/>
        <w:color w:val="A09289"/>
        <w:sz w:val="16"/>
        <w:szCs w:val="16"/>
      </w:rPr>
      <w:t>Corte Campana, 10 - 55100 Lucca - T +39 0583 9765   F +39 0583 199 99 82</w:t>
    </w:r>
  </w:p>
  <w:p w14:paraId="2EEFDFEF" w14:textId="77777777" w:rsidR="00A80914" w:rsidRDefault="00CC3158">
    <w:pPr>
      <w:ind w:left="851"/>
      <w:jc w:val="center"/>
      <w:rPr>
        <w:rFonts w:ascii="Arial Narrow" w:eastAsia="Arial Narrow" w:hAnsi="Arial Narrow" w:cs="Arial Narrow"/>
        <w:color w:val="A09289"/>
        <w:sz w:val="16"/>
        <w:szCs w:val="16"/>
      </w:rPr>
    </w:pPr>
    <w:r>
      <w:rPr>
        <w:rFonts w:ascii="Arial Narrow" w:eastAsia="Arial Narrow" w:hAnsi="Arial Narrow" w:cs="Arial Narrow"/>
        <w:color w:val="A09289"/>
        <w:sz w:val="16"/>
        <w:szCs w:val="16"/>
      </w:rPr>
      <w:t xml:space="preserve">cameracommercio@lu.camcom.it - </w:t>
    </w:r>
    <w:proofErr w:type="spellStart"/>
    <w:r>
      <w:rPr>
        <w:rFonts w:ascii="Arial Narrow" w:eastAsia="Arial Narrow" w:hAnsi="Arial Narrow" w:cs="Arial Narrow"/>
        <w:color w:val="A09289"/>
        <w:sz w:val="16"/>
        <w:szCs w:val="16"/>
      </w:rPr>
      <w:t>p.e.c</w:t>
    </w:r>
    <w:proofErr w:type="spellEnd"/>
    <w:r>
      <w:rPr>
        <w:rFonts w:ascii="Arial Narrow" w:eastAsia="Arial Narrow" w:hAnsi="Arial Narrow" w:cs="Arial Narrow"/>
        <w:color w:val="A09289"/>
        <w:sz w:val="16"/>
        <w:szCs w:val="16"/>
      </w:rPr>
      <w:t>. camera.commercio.lucca@lu.legalmail.camcom.it - www.lu.camcom.it</w:t>
    </w:r>
  </w:p>
  <w:p w14:paraId="436EA712" w14:textId="77777777" w:rsidR="00A80914" w:rsidRDefault="00A80914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A0928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DBD9" w14:textId="77777777" w:rsidR="00CC3158" w:rsidRDefault="00CC3158">
      <w:r>
        <w:separator/>
      </w:r>
    </w:p>
  </w:footnote>
  <w:footnote w:type="continuationSeparator" w:id="0">
    <w:p w14:paraId="562DC1C4" w14:textId="77777777" w:rsidR="00CC3158" w:rsidRDefault="00CC3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EF95" w14:textId="77777777" w:rsidR="00A80914" w:rsidRDefault="00CC3158">
    <w:pPr>
      <w:pStyle w:val="Intestazione"/>
      <w:rPr>
        <w:rFonts w:ascii="Verdana" w:hAnsi="Verdana" w:cs="Verdana"/>
        <w:b/>
        <w:color w:val="808080"/>
        <w:spacing w:val="20"/>
        <w:kern w:val="2"/>
        <w:sz w:val="36"/>
        <w:lang w:val="pt-PT"/>
      </w:rPr>
    </w:pPr>
    <w:r>
      <w:rPr>
        <w:noProof/>
      </w:rPr>
      <w:drawing>
        <wp:inline distT="0" distB="0" distL="0" distR="0" wp14:anchorId="17E5DE14" wp14:editId="68857403">
          <wp:extent cx="1962150" cy="533400"/>
          <wp:effectExtent l="0" t="0" r="0" b="0"/>
          <wp:docPr id="6" name="Immagine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33" t="-1591" r="-433" b="-159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FE95E" w14:textId="77777777" w:rsidR="00A80914" w:rsidRDefault="00CC3158">
    <w:pPr>
      <w:pStyle w:val="Intestazione"/>
      <w:rPr>
        <w:rFonts w:ascii="Verdana" w:hAnsi="Verdana" w:cs="Verdana"/>
        <w:color w:val="808080"/>
        <w:spacing w:val="20"/>
        <w:sz w:val="36"/>
        <w:lang w:val="pt-PT"/>
      </w:rPr>
    </w:pP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sz w:val="22"/>
        <w:shd w:val="clear" w:color="auto" w:fill="FFFFFF"/>
      </w:rPr>
      <w:tab/>
    </w:r>
    <w:r>
      <w:rPr>
        <w:rFonts w:ascii="Verdana" w:hAnsi="Verdana" w:cs="Verdana"/>
        <w:color w:val="808080"/>
        <w:spacing w:val="20"/>
        <w:sz w:val="36"/>
        <w:lang w:val="pt-PT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14"/>
    <w:rsid w:val="00472D66"/>
    <w:rsid w:val="00661592"/>
    <w:rsid w:val="00A80914"/>
    <w:rsid w:val="00CC3158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1042"/>
  <w15:docId w15:val="{BAC2911E-E0FE-4367-AED0-CE12C096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color w:val="00000A"/>
    </w:rPr>
  </w:style>
  <w:style w:type="paragraph" w:styleId="Titolo1">
    <w:name w:val="heading 1"/>
    <w:basedOn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35DB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35DB2"/>
  </w:style>
  <w:style w:type="character" w:customStyle="1" w:styleId="CollegamentoInternet">
    <w:name w:val="Collegamento Internet"/>
    <w:basedOn w:val="Carpredefinitoparagrafo"/>
    <w:uiPriority w:val="99"/>
    <w:unhideWhenUsed/>
    <w:rsid w:val="00A27D0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1501C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Verdana" w:cs="Verdan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WW8Num17z0">
    <w:name w:val="WW8Num17z0"/>
    <w:qFormat/>
    <w:rPr>
      <w:rFonts w:cs="Arial"/>
      <w:strike w:val="0"/>
      <w:dstrike w:val="0"/>
    </w:rPr>
  </w:style>
  <w:style w:type="character" w:customStyle="1" w:styleId="WW8Num17z1">
    <w:name w:val="WW8Num17z1"/>
    <w:qFormat/>
    <w:rPr>
      <w:rFonts w:ascii="OpenSymbol;Arial Unicode MS" w:hAnsi="OpenSymbol;Arial Unicode MS" w:cs="OpenSymbol;Arial Unicode MS"/>
    </w:rPr>
  </w:style>
  <w:style w:type="character" w:customStyle="1" w:styleId="WW8Num17z3">
    <w:name w:val="WW8Num17z3"/>
    <w:qFormat/>
    <w:rPr>
      <w:rFonts w:ascii="Symbol" w:hAnsi="Symbol" w:cs="OpenSymbol;Arial Unicode MS"/>
    </w:rPr>
  </w:style>
  <w:style w:type="character" w:customStyle="1" w:styleId="WW8Num9z0">
    <w:name w:val="WW8Num9z0"/>
    <w:qFormat/>
    <w:rPr>
      <w:rFonts w:ascii="Arial" w:eastAsia="Times New Roman" w:hAnsi="Arial" w:cs="Arial"/>
      <w:b w:val="0"/>
      <w:strike w:val="0"/>
      <w:dstrike w:val="0"/>
      <w:sz w:val="22"/>
      <w:szCs w:val="22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OpenSymbol;Arial Unicode MS"/>
      <w:color w:val="000000"/>
      <w:sz w:val="18"/>
      <w:szCs w:val="18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AA3CA1"/>
  </w:style>
  <w:style w:type="character" w:customStyle="1" w:styleId="TestonotaapidipaginaCarattere1">
    <w:name w:val="Testo nota a piè di pagina Carattere1"/>
    <w:basedOn w:val="Carpredefinitoparagrafo"/>
    <w:uiPriority w:val="99"/>
    <w:semiHidden/>
    <w:qFormat/>
    <w:rsid w:val="00AA3CA1"/>
    <w:rPr>
      <w:color w:val="00000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A3CA1"/>
    <w:rPr>
      <w:vertAlign w:val="superscript"/>
    </w:rPr>
  </w:style>
  <w:style w:type="character" w:customStyle="1" w:styleId="Enfasiforte">
    <w:name w:val="Enfasi forte"/>
    <w:qFormat/>
    <w:rsid w:val="007A7743"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76" w:lineRule="auto"/>
    </w:pPr>
  </w:style>
  <w:style w:type="paragraph" w:styleId="Elenco">
    <w:name w:val="List"/>
    <w:basedOn w:val="Corpotesto1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nhideWhenUsed/>
    <w:rsid w:val="00535DB2"/>
    <w:pPr>
      <w:tabs>
        <w:tab w:val="center" w:pos="4513"/>
        <w:tab w:val="right" w:pos="9026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535DB2"/>
    <w:pPr>
      <w:tabs>
        <w:tab w:val="center" w:pos="4513"/>
        <w:tab w:val="right" w:pos="9026"/>
      </w:tabs>
    </w:pPr>
  </w:style>
  <w:style w:type="paragraph" w:styleId="Paragrafoelenco">
    <w:name w:val="List Paragraph"/>
    <w:basedOn w:val="Normale"/>
    <w:uiPriority w:val="34"/>
    <w:qFormat/>
    <w:rsid w:val="00EB0A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3CA1"/>
    <w:pPr>
      <w:suppressAutoHyphens w:val="0"/>
    </w:pPr>
    <w:rPr>
      <w:color w:val="auto"/>
    </w:rPr>
  </w:style>
  <w:style w:type="paragraph" w:styleId="NormaleWeb">
    <w:name w:val="Normal (Web)"/>
    <w:basedOn w:val="Normale"/>
    <w:qFormat/>
    <w:rsid w:val="007A7743"/>
    <w:pPr>
      <w:spacing w:before="280" w:after="280"/>
      <w:textAlignment w:val="baseline"/>
    </w:pPr>
    <w:rPr>
      <w:rFonts w:ascii="Liberation Serif" w:eastAsia="NSimSun" w:hAnsi="Liberation Serif" w:cs="Lucida Sans"/>
      <w:color w:val="auto"/>
      <w:kern w:val="2"/>
      <w:sz w:val="24"/>
      <w:szCs w:val="24"/>
      <w:lang w:eastAsia="zh-CN" w:bidi="hi-IN"/>
    </w:rPr>
  </w:style>
  <w:style w:type="numbering" w:customStyle="1" w:styleId="WW8Num17">
    <w:name w:val="WW8Num17"/>
    <w:qFormat/>
  </w:style>
  <w:style w:type="numbering" w:customStyle="1" w:styleId="WW8Num9">
    <w:name w:val="WW8Num9"/>
    <w:qFormat/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.camcom.i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.camcom.it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CameraCommercioLucca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1422</Words>
  <Characters>8110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Sargenti Francesca</dc:creator>
  <dc:description/>
  <cp:lastModifiedBy>Segreteria Generale</cp:lastModifiedBy>
  <cp:revision>3</cp:revision>
  <cp:lastPrinted>2021-08-30T09:31:00Z</cp:lastPrinted>
  <dcterms:created xsi:type="dcterms:W3CDTF">2021-12-15T09:31:00Z</dcterms:created>
  <dcterms:modified xsi:type="dcterms:W3CDTF">2021-12-15T09:35:00Z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